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6DBC" w14:textId="19043A88" w:rsidR="00044446" w:rsidRPr="00803A8D" w:rsidRDefault="00044446" w:rsidP="00044446">
      <w:pPr>
        <w:rPr>
          <w:b/>
          <w:bCs/>
          <w:sz w:val="48"/>
          <w:szCs w:val="48"/>
        </w:rPr>
      </w:pPr>
      <w:r w:rsidRPr="00803A8D">
        <w:rPr>
          <w:b/>
          <w:bCs/>
          <w:sz w:val="48"/>
          <w:szCs w:val="48"/>
        </w:rPr>
        <w:t>ZNALECKÝ POSUDEK</w:t>
      </w:r>
      <w:r w:rsidR="00450272" w:rsidRPr="00803A8D">
        <w:rPr>
          <w:b/>
          <w:bCs/>
          <w:sz w:val="48"/>
          <w:szCs w:val="48"/>
        </w:rPr>
        <w:t xml:space="preserve"> č. 2026/4</w:t>
      </w:r>
      <w:r w:rsidR="00075995">
        <w:rPr>
          <w:b/>
          <w:bCs/>
          <w:sz w:val="48"/>
          <w:szCs w:val="48"/>
        </w:rPr>
        <w:t>5</w:t>
      </w:r>
    </w:p>
    <w:p w14:paraId="06A99DA4" w14:textId="77777777" w:rsidR="00044446" w:rsidRPr="00044446" w:rsidRDefault="00044446" w:rsidP="00044446">
      <w:pPr>
        <w:rPr>
          <w:b/>
          <w:bCs/>
        </w:rPr>
      </w:pPr>
    </w:p>
    <w:p w14:paraId="181C108B" w14:textId="77777777" w:rsidR="00044446" w:rsidRPr="00044446" w:rsidRDefault="00044446" w:rsidP="00044446">
      <w:pPr>
        <w:rPr>
          <w:b/>
          <w:bCs/>
        </w:rPr>
      </w:pPr>
    </w:p>
    <w:p w14:paraId="07B36B3B" w14:textId="77777777" w:rsidR="00044446" w:rsidRPr="00044446" w:rsidRDefault="00044446" w:rsidP="00044446">
      <w:r w:rsidRPr="00044446">
        <w:t xml:space="preserve">Znalecký posudek je podán v oboru ekonomika, odvětví ceny a odhady nemovitostí. </w:t>
      </w:r>
    </w:p>
    <w:p w14:paraId="09257BE5" w14:textId="146E4E47" w:rsidR="00044446" w:rsidRPr="00044446" w:rsidRDefault="00044446" w:rsidP="00044446">
      <w:r w:rsidRPr="00044446">
        <w:t xml:space="preserve">  </w:t>
      </w:r>
    </w:p>
    <w:p w14:paraId="7E0EC246" w14:textId="77777777" w:rsidR="00044446" w:rsidRPr="00044446" w:rsidRDefault="00044446" w:rsidP="00044446">
      <w:pPr>
        <w:rPr>
          <w:b/>
          <w:bCs/>
        </w:rPr>
      </w:pPr>
      <w:r w:rsidRPr="00044446">
        <w:rPr>
          <w:b/>
          <w:bCs/>
        </w:rPr>
        <w:t>Stručný popis předmětu znaleckého posudku</w:t>
      </w:r>
    </w:p>
    <w:p w14:paraId="173FFF94" w14:textId="496CC64A" w:rsidR="00044446" w:rsidRPr="00044446" w:rsidRDefault="00044446" w:rsidP="00044446">
      <w:r w:rsidRPr="00044446">
        <w:t xml:space="preserve">Zjištění ceny </w:t>
      </w:r>
      <w:r w:rsidR="00075995">
        <w:t>tržní pozemků v Karolince</w:t>
      </w:r>
      <w:r w:rsidRPr="00044446">
        <w:t xml:space="preserve">: </w:t>
      </w:r>
    </w:p>
    <w:p w14:paraId="31E77029" w14:textId="77777777" w:rsidR="00075995" w:rsidRDefault="00075995" w:rsidP="00044446"/>
    <w:p w14:paraId="65E94D59" w14:textId="73146E5B" w:rsidR="00044446" w:rsidRDefault="00075995" w:rsidP="00044446">
      <w:r>
        <w:t xml:space="preserve">Plocha </w:t>
      </w:r>
      <w:proofErr w:type="gramStart"/>
      <w:r>
        <w:t>A  v</w:t>
      </w:r>
      <w:proofErr w:type="gramEnd"/>
      <w:r>
        <w:t> areálu bývalých skláren v Karolince, zapsáno na LV č. 10001 – Město Karolinka.</w:t>
      </w:r>
    </w:p>
    <w:p w14:paraId="3E320DBD" w14:textId="77777777" w:rsidR="00075995" w:rsidRDefault="00075995" w:rsidP="00044446"/>
    <w:p w14:paraId="0F406B2B" w14:textId="77777777" w:rsidR="00075995" w:rsidRDefault="00075995" w:rsidP="00044446"/>
    <w:p w14:paraId="296BBE59" w14:textId="77777777" w:rsidR="00075995" w:rsidRPr="00044446" w:rsidRDefault="00075995" w:rsidP="00044446"/>
    <w:p w14:paraId="42494126" w14:textId="77777777" w:rsidR="00044446" w:rsidRPr="00044446" w:rsidRDefault="00044446" w:rsidP="00044446"/>
    <w:p w14:paraId="0F552546" w14:textId="755D2A08" w:rsidR="00044446" w:rsidRPr="00044446" w:rsidRDefault="00044446" w:rsidP="00044446">
      <w:proofErr w:type="gramStart"/>
      <w:r w:rsidRPr="00044446">
        <w:rPr>
          <w:b/>
          <w:bCs/>
        </w:rPr>
        <w:t>Znalec:</w:t>
      </w:r>
      <w:r w:rsidR="001A6B53">
        <w:rPr>
          <w:b/>
          <w:bCs/>
        </w:rPr>
        <w:t xml:space="preserve"> </w:t>
      </w:r>
      <w:r w:rsidRPr="00044446">
        <w:t xml:space="preserve"> Eduard</w:t>
      </w:r>
      <w:proofErr w:type="gramEnd"/>
      <w:r w:rsidRPr="00044446">
        <w:t xml:space="preserve"> Hromada</w:t>
      </w:r>
      <w:r w:rsidR="001A6B53">
        <w:t xml:space="preserve"> Ing.</w:t>
      </w:r>
    </w:p>
    <w:p w14:paraId="5083B96F" w14:textId="15E4BF17" w:rsidR="00044446" w:rsidRPr="00044446" w:rsidRDefault="00044446" w:rsidP="00044446">
      <w:r w:rsidRPr="00044446">
        <w:tab/>
      </w:r>
      <w:r w:rsidR="001A6B53">
        <w:t xml:space="preserve">    </w:t>
      </w:r>
      <w:r w:rsidR="00075995">
        <w:t>Lidická 1974</w:t>
      </w:r>
    </w:p>
    <w:p w14:paraId="686DAA58" w14:textId="70714917" w:rsidR="00044446" w:rsidRPr="00044446" w:rsidRDefault="00044446" w:rsidP="00044446">
      <w:r w:rsidRPr="00044446">
        <w:tab/>
      </w:r>
      <w:r w:rsidR="001A6B53">
        <w:t xml:space="preserve">   </w:t>
      </w:r>
      <w:r w:rsidR="00075995">
        <w:t>Vsetín 755 01</w:t>
      </w:r>
    </w:p>
    <w:p w14:paraId="522CD5B3" w14:textId="77777777" w:rsidR="00044446" w:rsidRPr="00044446" w:rsidRDefault="00044446" w:rsidP="00044446"/>
    <w:p w14:paraId="1D0F04CD" w14:textId="77777777" w:rsidR="00044446" w:rsidRPr="00044446" w:rsidRDefault="00044446" w:rsidP="00044446"/>
    <w:p w14:paraId="533D4968" w14:textId="1CDFA0DF" w:rsidR="00044446" w:rsidRDefault="00044446" w:rsidP="00044446">
      <w:r w:rsidRPr="00044446">
        <w:rPr>
          <w:b/>
          <w:bCs/>
        </w:rPr>
        <w:t>Zadavatel:</w:t>
      </w:r>
      <w:r w:rsidRPr="00044446">
        <w:tab/>
      </w:r>
      <w:r w:rsidR="00075995">
        <w:t>Město Karolinka</w:t>
      </w:r>
    </w:p>
    <w:p w14:paraId="1F76B8C5" w14:textId="77777777" w:rsidR="001A6B53" w:rsidRPr="00044446" w:rsidRDefault="001A6B53" w:rsidP="00044446">
      <w:pPr>
        <w:rPr>
          <w:b/>
          <w:bCs/>
        </w:rPr>
      </w:pPr>
    </w:p>
    <w:p w14:paraId="0CD585A0" w14:textId="7764F0A5" w:rsidR="00803A8D" w:rsidRDefault="00044446" w:rsidP="00044446">
      <w:pPr>
        <w:rPr>
          <w:b/>
          <w:bCs/>
        </w:rPr>
      </w:pPr>
      <w:r w:rsidRPr="00044446">
        <w:rPr>
          <w:b/>
          <w:bCs/>
        </w:rPr>
        <w:t xml:space="preserve">Počet stran: </w:t>
      </w:r>
      <w:r w:rsidR="00024C54">
        <w:rPr>
          <w:b/>
          <w:bCs/>
        </w:rPr>
        <w:t>19</w:t>
      </w:r>
    </w:p>
    <w:p w14:paraId="71360866" w14:textId="3FED66AB" w:rsidR="00044446" w:rsidRDefault="00044446" w:rsidP="00044446">
      <w:r w:rsidRPr="00044446">
        <w:rPr>
          <w:b/>
          <w:bCs/>
        </w:rPr>
        <w:t>Počet vyhotovení:</w:t>
      </w:r>
      <w:r w:rsidRPr="00044446">
        <w:t xml:space="preserve"> 2</w:t>
      </w:r>
      <w:r w:rsidR="00803A8D">
        <w:t xml:space="preserve">    </w:t>
      </w:r>
      <w:r w:rsidRPr="00044446">
        <w:rPr>
          <w:b/>
          <w:bCs/>
        </w:rPr>
        <w:tab/>
      </w:r>
      <w:r w:rsidR="001A6B53">
        <w:rPr>
          <w:b/>
          <w:bCs/>
        </w:rPr>
        <w:t xml:space="preserve"> </w:t>
      </w:r>
      <w:r w:rsidRPr="00044446">
        <w:rPr>
          <w:b/>
          <w:bCs/>
        </w:rPr>
        <w:t>Vyhotovení číslo:</w:t>
      </w:r>
      <w:r w:rsidRPr="00044446">
        <w:t xml:space="preserve"> 1</w:t>
      </w:r>
    </w:p>
    <w:p w14:paraId="35C59E1B" w14:textId="77777777" w:rsidR="00803A8D" w:rsidRDefault="00803A8D" w:rsidP="00044446"/>
    <w:p w14:paraId="72C0F951" w14:textId="77777777" w:rsidR="00803A8D" w:rsidRPr="00044446" w:rsidRDefault="00803A8D" w:rsidP="00044446"/>
    <w:p w14:paraId="40ED274B" w14:textId="1F2AF318" w:rsidR="00044446" w:rsidRPr="00044446" w:rsidRDefault="00044446" w:rsidP="00044446">
      <w:r w:rsidRPr="00044446">
        <w:rPr>
          <w:b/>
          <w:bCs/>
        </w:rPr>
        <w:t>Podle stavu ke dni:</w:t>
      </w:r>
      <w:r w:rsidRPr="00044446">
        <w:t xml:space="preserve"> </w:t>
      </w:r>
      <w:r w:rsidR="00075995">
        <w:t>2.6.2026</w:t>
      </w:r>
      <w:r w:rsidRPr="00044446">
        <w:tab/>
      </w:r>
      <w:r w:rsidRPr="00044446">
        <w:rPr>
          <w:b/>
          <w:bCs/>
        </w:rPr>
        <w:t xml:space="preserve">Vyhotoveno: </w:t>
      </w:r>
      <w:r w:rsidR="00075995">
        <w:rPr>
          <w:b/>
          <w:bCs/>
        </w:rPr>
        <w:t>9</w:t>
      </w:r>
      <w:r w:rsidR="00803A8D">
        <w:rPr>
          <w:b/>
          <w:bCs/>
        </w:rPr>
        <w:t>.6.2026</w:t>
      </w:r>
    </w:p>
    <w:p w14:paraId="650933FF" w14:textId="77777777" w:rsidR="00044446" w:rsidRPr="00044446" w:rsidRDefault="00044446" w:rsidP="00044446">
      <w:pPr>
        <w:rPr>
          <w:b/>
          <w:bCs/>
        </w:rPr>
      </w:pPr>
      <w:r w:rsidRPr="00044446">
        <w:br w:type="page"/>
      </w:r>
      <w:r w:rsidRPr="00044446">
        <w:rPr>
          <w:b/>
          <w:bCs/>
        </w:rPr>
        <w:lastRenderedPageBreak/>
        <w:t>1. ZADÁNÍ</w:t>
      </w:r>
    </w:p>
    <w:p w14:paraId="2D1CAFFB" w14:textId="77777777" w:rsidR="00044446" w:rsidRPr="00044446" w:rsidRDefault="00044446" w:rsidP="00044446">
      <w:pPr>
        <w:rPr>
          <w:b/>
          <w:bCs/>
        </w:rPr>
      </w:pPr>
      <w:r w:rsidRPr="00044446">
        <w:rPr>
          <w:b/>
          <w:bCs/>
        </w:rPr>
        <w:t>1.1. Znalecký úkol, odborná otázka zadavatele</w:t>
      </w:r>
    </w:p>
    <w:p w14:paraId="1F13CFE9" w14:textId="27885D3E" w:rsidR="00044446" w:rsidRPr="00044446" w:rsidRDefault="00044446" w:rsidP="00044446">
      <w:r w:rsidRPr="00044446">
        <w:t xml:space="preserve">Znaleckým úkolem je stanovit cenu </w:t>
      </w:r>
      <w:r w:rsidR="00075995">
        <w:t xml:space="preserve">tržní vyčleněných </w:t>
      </w:r>
      <w:proofErr w:type="gramStart"/>
      <w:r w:rsidR="00075995">
        <w:t xml:space="preserve">pozemků </w:t>
      </w:r>
      <w:r w:rsidR="00024C54">
        <w:t xml:space="preserve"> v</w:t>
      </w:r>
      <w:proofErr w:type="gramEnd"/>
      <w:r w:rsidR="00024C54">
        <w:t xml:space="preserve"> ploše </w:t>
      </w:r>
      <w:proofErr w:type="gramStart"/>
      <w:r w:rsidR="00075995">
        <w:t xml:space="preserve">A </w:t>
      </w:r>
      <w:r w:rsidR="00024C54">
        <w:t xml:space="preserve"> </w:t>
      </w:r>
      <w:r w:rsidR="00075995">
        <w:t>v</w:t>
      </w:r>
      <w:proofErr w:type="gramEnd"/>
      <w:r w:rsidR="00075995">
        <w:t> areálu bývalých skláren v Karolince</w:t>
      </w:r>
      <w:r w:rsidRPr="00044446">
        <w:t>.</w:t>
      </w:r>
    </w:p>
    <w:p w14:paraId="561BF349" w14:textId="77777777" w:rsidR="00044446" w:rsidRPr="00044446" w:rsidRDefault="00044446" w:rsidP="00044446">
      <w:pPr>
        <w:rPr>
          <w:b/>
          <w:bCs/>
        </w:rPr>
      </w:pPr>
      <w:r w:rsidRPr="00044446">
        <w:rPr>
          <w:b/>
          <w:bCs/>
        </w:rPr>
        <w:t>1.2. Účel znaleckého posudku</w:t>
      </w:r>
    </w:p>
    <w:p w14:paraId="095128F7" w14:textId="02EB17DD" w:rsidR="00044446" w:rsidRPr="00044446" w:rsidRDefault="00044446" w:rsidP="00044446">
      <w:r w:rsidRPr="00044446">
        <w:t xml:space="preserve">Účelem znaleckého posudku je zjištění ceny </w:t>
      </w:r>
      <w:r w:rsidR="00864722">
        <w:t>tržní</w:t>
      </w:r>
      <w:r w:rsidRPr="00044446">
        <w:t xml:space="preserve"> pro prodej. </w:t>
      </w:r>
    </w:p>
    <w:p w14:paraId="099D3F5C" w14:textId="77777777" w:rsidR="00044446" w:rsidRPr="00044446" w:rsidRDefault="00044446" w:rsidP="00044446"/>
    <w:p w14:paraId="709465AA" w14:textId="77777777" w:rsidR="00044446" w:rsidRPr="00044446" w:rsidRDefault="00044446" w:rsidP="00044446">
      <w:pPr>
        <w:rPr>
          <w:b/>
          <w:bCs/>
        </w:rPr>
      </w:pPr>
      <w:r w:rsidRPr="00044446">
        <w:rPr>
          <w:b/>
          <w:bCs/>
        </w:rPr>
        <w:t>1.3. Skutečnosti sdělené zadavatelem mající vliv na přesnost závěru znaleckého posudku</w:t>
      </w:r>
    </w:p>
    <w:p w14:paraId="080D2246" w14:textId="77777777" w:rsidR="00044446" w:rsidRPr="00044446" w:rsidRDefault="00044446" w:rsidP="00044446">
      <w:r w:rsidRPr="00044446">
        <w:t xml:space="preserve">Zadavatelem nebyly sděleny žádné skutečnosti mající vliv na přesnost závěru znaleckého posudku. </w:t>
      </w:r>
    </w:p>
    <w:p w14:paraId="7AE8801D" w14:textId="77777777" w:rsidR="00044446" w:rsidRPr="00044446" w:rsidRDefault="00044446" w:rsidP="00044446">
      <w:pPr>
        <w:rPr>
          <w:b/>
          <w:bCs/>
        </w:rPr>
      </w:pPr>
      <w:r w:rsidRPr="00044446">
        <w:rPr>
          <w:b/>
          <w:bCs/>
        </w:rPr>
        <w:t>1.4. Prohlídka a zaměření</w:t>
      </w:r>
    </w:p>
    <w:p w14:paraId="4487CA93" w14:textId="13BCE68C" w:rsidR="00044446" w:rsidRPr="00044446" w:rsidRDefault="00044446" w:rsidP="00044446">
      <w:r w:rsidRPr="00044446">
        <w:t>Prohlídka se zaměřením byla provedena dne</w:t>
      </w:r>
      <w:r w:rsidR="00075995">
        <w:t xml:space="preserve"> 2.6.2026</w:t>
      </w:r>
      <w:r w:rsidRPr="00044446">
        <w:t>.</w:t>
      </w:r>
    </w:p>
    <w:p w14:paraId="287354ED" w14:textId="77777777" w:rsidR="00044446" w:rsidRPr="00044446" w:rsidRDefault="00044446" w:rsidP="00044446"/>
    <w:p w14:paraId="6B8DD4AC" w14:textId="77777777" w:rsidR="00044446" w:rsidRPr="00044446" w:rsidRDefault="00044446" w:rsidP="00044446"/>
    <w:p w14:paraId="3B24BCC0" w14:textId="77777777" w:rsidR="00044446" w:rsidRPr="00044446" w:rsidRDefault="00044446" w:rsidP="00044446"/>
    <w:p w14:paraId="0B69EBBE" w14:textId="77777777" w:rsidR="00044446" w:rsidRPr="00044446" w:rsidRDefault="00044446" w:rsidP="00044446">
      <w:pPr>
        <w:rPr>
          <w:b/>
          <w:bCs/>
        </w:rPr>
      </w:pPr>
      <w:r w:rsidRPr="00044446">
        <w:rPr>
          <w:b/>
          <w:bCs/>
        </w:rPr>
        <w:t>2. VÝČET PODKLADŮ</w:t>
      </w:r>
    </w:p>
    <w:p w14:paraId="79859144" w14:textId="77777777" w:rsidR="00044446" w:rsidRPr="00044446" w:rsidRDefault="00044446" w:rsidP="00044446">
      <w:pPr>
        <w:rPr>
          <w:b/>
          <w:bCs/>
        </w:rPr>
      </w:pPr>
      <w:r w:rsidRPr="00044446">
        <w:rPr>
          <w:b/>
          <w:bCs/>
        </w:rPr>
        <w:t>2.1. Popis postupu znalce při výběru zdrojů dat</w:t>
      </w:r>
    </w:p>
    <w:p w14:paraId="1422D537" w14:textId="77777777" w:rsidR="00044446" w:rsidRPr="00044446" w:rsidRDefault="00044446" w:rsidP="00044446">
      <w:r w:rsidRPr="00044446">
        <w:t>Podklady pro vypracování znaleckého posudky byly získány při prohlídce nemovitosti a dále z veřejně přístupných zdrojů, z podkladů zajištěných znalcem nebo předaných zadavatelem.</w:t>
      </w:r>
    </w:p>
    <w:p w14:paraId="175A6E08" w14:textId="77777777" w:rsidR="00044446" w:rsidRPr="00044446" w:rsidRDefault="00044446" w:rsidP="00044446">
      <w:r w:rsidRPr="00044446">
        <w:t>Zdrojem dat jsou informační databáze, písemnosti dodané zadavatelem nebo jiný zdroj informací, které jsou potřebné k odpovědi na zadané odborné otázky.</w:t>
      </w:r>
    </w:p>
    <w:p w14:paraId="033BF496" w14:textId="77777777" w:rsidR="00044446" w:rsidRPr="00044446" w:rsidRDefault="00044446" w:rsidP="00044446"/>
    <w:p w14:paraId="2E22E381" w14:textId="77777777" w:rsidR="00044446" w:rsidRPr="00044446" w:rsidRDefault="00044446" w:rsidP="00044446">
      <w:pPr>
        <w:rPr>
          <w:b/>
          <w:bCs/>
        </w:rPr>
      </w:pPr>
      <w:r w:rsidRPr="00044446">
        <w:rPr>
          <w:b/>
          <w:bCs/>
        </w:rPr>
        <w:t>2.2. Výčet vybraných zdrojů dat a jejich popis</w:t>
      </w:r>
    </w:p>
    <w:p w14:paraId="0B7E8A82" w14:textId="779BC14A" w:rsidR="00044446" w:rsidRPr="00044446" w:rsidRDefault="00044446" w:rsidP="00044446">
      <w:r w:rsidRPr="00044446">
        <w:t xml:space="preserve">1. Výpis z katastru nemovitostí, LV č. </w:t>
      </w:r>
      <w:r w:rsidR="00075995">
        <w:t>10001</w:t>
      </w:r>
      <w:r w:rsidR="001A6B53">
        <w:t xml:space="preserve"> ze dne </w:t>
      </w:r>
      <w:r w:rsidR="00075995">
        <w:t>9.6.2026</w:t>
      </w:r>
    </w:p>
    <w:p w14:paraId="2780DD31" w14:textId="0FFF2738" w:rsidR="00044446" w:rsidRPr="00044446" w:rsidRDefault="001A6B53" w:rsidP="00044446">
      <w:r>
        <w:t>2</w:t>
      </w:r>
      <w:r w:rsidR="00044446" w:rsidRPr="00044446">
        <w:t>. Katastrální mapa</w:t>
      </w:r>
    </w:p>
    <w:p w14:paraId="2184F3E4" w14:textId="77777777" w:rsidR="00044446" w:rsidRPr="00044446" w:rsidRDefault="00044446" w:rsidP="00044446">
      <w:r w:rsidRPr="00044446">
        <w:t>6. Mapa lokality</w:t>
      </w:r>
    </w:p>
    <w:p w14:paraId="048D3B30" w14:textId="0F5CDADB" w:rsidR="00044446" w:rsidRPr="00044446" w:rsidRDefault="00044446" w:rsidP="00044446">
      <w:r w:rsidRPr="00044446">
        <w:t xml:space="preserve">7. Skutečnosti zjištěné při místním šetření </w:t>
      </w:r>
      <w:proofErr w:type="gramStart"/>
      <w:r w:rsidRPr="00044446">
        <w:t xml:space="preserve">dne </w:t>
      </w:r>
      <w:r w:rsidR="00075995">
        <w:t xml:space="preserve"> 2.6.2026</w:t>
      </w:r>
      <w:proofErr w:type="gramEnd"/>
      <w:r w:rsidRPr="00044446">
        <w:t xml:space="preserve"> </w:t>
      </w:r>
    </w:p>
    <w:p w14:paraId="39244D3F" w14:textId="77777777" w:rsidR="00044446" w:rsidRPr="00044446" w:rsidRDefault="00044446" w:rsidP="00044446">
      <w:pPr>
        <w:rPr>
          <w:bCs/>
        </w:rPr>
      </w:pPr>
    </w:p>
    <w:p w14:paraId="40B43531" w14:textId="77777777" w:rsidR="00044446" w:rsidRPr="00044446" w:rsidRDefault="00044446" w:rsidP="00044446">
      <w:pPr>
        <w:rPr>
          <w:b/>
          <w:bCs/>
        </w:rPr>
      </w:pPr>
      <w:r w:rsidRPr="00044446">
        <w:rPr>
          <w:b/>
          <w:bCs/>
        </w:rPr>
        <w:lastRenderedPageBreak/>
        <w:t>2.3. Věrohodnost zdroje dat</w:t>
      </w:r>
    </w:p>
    <w:p w14:paraId="5C696154" w14:textId="77777777" w:rsidR="00044446" w:rsidRPr="00044446" w:rsidRDefault="00044446" w:rsidP="00044446">
      <w:r w:rsidRPr="00044446">
        <w:t xml:space="preserve">Všechna poskytnutá a zjištěná data je možno považovat za věrohodná.  </w:t>
      </w:r>
    </w:p>
    <w:p w14:paraId="51C7CD20" w14:textId="77777777" w:rsidR="00044446" w:rsidRPr="00044446" w:rsidRDefault="00044446" w:rsidP="00044446">
      <w:r w:rsidRPr="00044446">
        <w:br w:type="page"/>
      </w:r>
    </w:p>
    <w:p w14:paraId="791516E5" w14:textId="77777777" w:rsidR="00044446" w:rsidRPr="00044446" w:rsidRDefault="00044446" w:rsidP="00044446">
      <w:pPr>
        <w:rPr>
          <w:b/>
          <w:bCs/>
        </w:rPr>
      </w:pPr>
      <w:r w:rsidRPr="00044446">
        <w:rPr>
          <w:b/>
          <w:bCs/>
        </w:rPr>
        <w:lastRenderedPageBreak/>
        <w:t>2.4. Základní pojmy a metody ocenění</w:t>
      </w:r>
    </w:p>
    <w:p w14:paraId="391C39F7" w14:textId="77777777" w:rsidR="00044446" w:rsidRPr="00044446" w:rsidRDefault="00044446" w:rsidP="00044446">
      <w:pPr>
        <w:rPr>
          <w:b/>
          <w:bCs/>
        </w:rPr>
      </w:pPr>
    </w:p>
    <w:p w14:paraId="0AE88C6E" w14:textId="77777777" w:rsidR="00044446" w:rsidRPr="00044446" w:rsidRDefault="00044446" w:rsidP="00044446">
      <w:r w:rsidRPr="00044446">
        <w:rPr>
          <w:b/>
          <w:bCs/>
        </w:rPr>
        <w:t>Obvyklá cena</w:t>
      </w:r>
      <w:r w:rsidRPr="00044446">
        <w:t xml:space="preserve"> (obecná cena)</w:t>
      </w:r>
    </w:p>
    <w:p w14:paraId="16600752" w14:textId="77777777" w:rsidR="00044446" w:rsidRPr="00044446" w:rsidRDefault="00044446" w:rsidP="00044446">
      <w:r w:rsidRPr="00044446">
        <w:t>Dle zákona č. 151/1997 Sb., o oceňování majetku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určí se ze sjednaných cen porovnáním.</w:t>
      </w:r>
    </w:p>
    <w:p w14:paraId="7D058078" w14:textId="77777777" w:rsidR="00044446" w:rsidRPr="00044446" w:rsidRDefault="00044446" w:rsidP="00044446">
      <w:r w:rsidRPr="00044446">
        <w:t xml:space="preserve">Ekvivalentem ceny obvyklé může být reálná hodnota. </w:t>
      </w:r>
    </w:p>
    <w:p w14:paraId="571E77D3" w14:textId="77777777" w:rsidR="00044446" w:rsidRPr="00044446" w:rsidRDefault="00044446" w:rsidP="00044446"/>
    <w:p w14:paraId="46E7B9C9" w14:textId="77777777" w:rsidR="00044446" w:rsidRPr="00044446" w:rsidRDefault="00044446" w:rsidP="00044446">
      <w:pPr>
        <w:rPr>
          <w:b/>
          <w:bCs/>
        </w:rPr>
      </w:pPr>
      <w:r w:rsidRPr="00044446">
        <w:rPr>
          <w:b/>
          <w:bCs/>
        </w:rPr>
        <w:t>Tržní hodnota</w:t>
      </w:r>
    </w:p>
    <w:p w14:paraId="42CF2F95" w14:textId="77777777" w:rsidR="00044446" w:rsidRPr="00044446" w:rsidRDefault="00044446" w:rsidP="00044446">
      <w:r w:rsidRPr="00044446">
        <w:t>Dle zákona č. 151/1997 Sb., o oceňování majetku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w:t>
      </w:r>
    </w:p>
    <w:p w14:paraId="21613F9F" w14:textId="77777777" w:rsidR="00044446" w:rsidRPr="00044446" w:rsidRDefault="00044446" w:rsidP="00044446">
      <w:r w:rsidRPr="00044446">
        <w:t xml:space="preserve">Ekvivalentem tržní hodnoty může být reálná hodnota, která je zmiňována v zákoně 240/2013 Sb.  </w:t>
      </w:r>
    </w:p>
    <w:p w14:paraId="2AD27E18" w14:textId="77777777" w:rsidR="00044446" w:rsidRPr="00044446" w:rsidRDefault="00044446" w:rsidP="00044446"/>
    <w:p w14:paraId="683C358F" w14:textId="77777777" w:rsidR="00044446" w:rsidRPr="00044446" w:rsidRDefault="00044446" w:rsidP="00044446">
      <w:pPr>
        <w:rPr>
          <w:b/>
          <w:bCs/>
        </w:rPr>
      </w:pPr>
      <w:r w:rsidRPr="00044446">
        <w:rPr>
          <w:b/>
          <w:bCs/>
        </w:rPr>
        <w:t>Stanovení tržní hodnoty</w:t>
      </w:r>
    </w:p>
    <w:p w14:paraId="68DF9CCB" w14:textId="77777777" w:rsidR="00044446" w:rsidRPr="00044446" w:rsidRDefault="00044446" w:rsidP="00044446">
      <w:r w:rsidRPr="00044446">
        <w:t>Tržní hodnota je stanovena podle dostupných metod, které jsou reálně použitelné v současných ekonomických podmínkách v ČR a nejlépe vystihujíc současnou hodnotu majetku. Ta je velmi proměnlivá v čase a je ovlivňována mnoha faktory, které se vyvíjejí v období rozvoje tržního hospodářství, stabilizace finanční politiky a soukromého podnikání. Použití metod a způsob stanovení tržní hodnoty je také ovlivněn i účelem, pro který se tržní hodnota majetku zjišťuje.</w:t>
      </w:r>
    </w:p>
    <w:p w14:paraId="658EFC86" w14:textId="77777777" w:rsidR="00044446" w:rsidRPr="00044446" w:rsidRDefault="00044446" w:rsidP="00044446"/>
    <w:p w14:paraId="397A8648" w14:textId="77777777" w:rsidR="00044446" w:rsidRPr="00044446" w:rsidRDefault="00044446" w:rsidP="00044446">
      <w:r w:rsidRPr="00044446">
        <w:lastRenderedPageBreak/>
        <w:t>Pro odhad tržní hodnoty se používají tyto oceňovací metody:</w:t>
      </w:r>
    </w:p>
    <w:p w14:paraId="2C7E5DB0" w14:textId="77777777" w:rsidR="00044446" w:rsidRPr="00044446" w:rsidRDefault="00044446" w:rsidP="00044446">
      <w:pPr>
        <w:rPr>
          <w:b/>
          <w:bCs/>
        </w:rPr>
      </w:pPr>
    </w:p>
    <w:p w14:paraId="06DCE123" w14:textId="77777777" w:rsidR="00044446" w:rsidRPr="00044446" w:rsidRDefault="00044446" w:rsidP="00044446">
      <w:pPr>
        <w:rPr>
          <w:b/>
          <w:bCs/>
        </w:rPr>
      </w:pPr>
      <w:r w:rsidRPr="00044446">
        <w:rPr>
          <w:b/>
          <w:bCs/>
        </w:rPr>
        <w:t>Metoda věcné hodnoty</w:t>
      </w:r>
    </w:p>
    <w:p w14:paraId="62B5B808" w14:textId="77777777" w:rsidR="00044446" w:rsidRPr="00044446" w:rsidRDefault="00044446" w:rsidP="00044446">
      <w:r w:rsidRPr="00044446">
        <w:t>Věcná hodnota (časová cena) je reprodukční cena věci snížená o přiměřené opotřebení odpovídající opotřebené věci stejného stáří a přiměřené intenzity používání. Cena reprodukční je cena, za kterou by bylo možno stejnou nebo porovnatelnou novou věc pořídit v době ocenění, bez odpočtu opotřebení.</w:t>
      </w:r>
    </w:p>
    <w:p w14:paraId="7061ED36" w14:textId="77777777" w:rsidR="00044446" w:rsidRPr="00044446" w:rsidRDefault="00044446" w:rsidP="00044446"/>
    <w:p w14:paraId="77D61671" w14:textId="77777777" w:rsidR="00044446" w:rsidRPr="00044446" w:rsidRDefault="00044446" w:rsidP="00044446">
      <w:pPr>
        <w:rPr>
          <w:b/>
          <w:bCs/>
        </w:rPr>
      </w:pPr>
      <w:r w:rsidRPr="00044446">
        <w:rPr>
          <w:b/>
          <w:bCs/>
        </w:rPr>
        <w:t>Metoda výnosová</w:t>
      </w:r>
    </w:p>
    <w:p w14:paraId="6B27E78E" w14:textId="77777777" w:rsidR="00044446" w:rsidRPr="00044446" w:rsidRDefault="00044446" w:rsidP="00044446">
      <w:r w:rsidRPr="00044446">
        <w:t>Tato metoda je založena na koncepci "časové hodnoty peněz a relativního rizika investice".</w:t>
      </w:r>
    </w:p>
    <w:p w14:paraId="74EB3230" w14:textId="77777777" w:rsidR="00044446" w:rsidRPr="00044446" w:rsidRDefault="00044446" w:rsidP="00044446">
      <w:r w:rsidRPr="00044446">
        <w:t>Výnosovou hodnotu si lze představit jako jistinu, kterou je nutno při stanovené úrokové sazbě uložit, aby úroky z této jistiny byly stejné jako čistý výnos z nemovité věci.</w:t>
      </w:r>
    </w:p>
    <w:p w14:paraId="7DF14229" w14:textId="77777777" w:rsidR="00044446" w:rsidRPr="00044446" w:rsidRDefault="00044446" w:rsidP="00044446"/>
    <w:p w14:paraId="2B84204C" w14:textId="77777777" w:rsidR="00044446" w:rsidRPr="00044446" w:rsidRDefault="00044446" w:rsidP="00044446">
      <w:r w:rsidRPr="00044446">
        <w:rPr>
          <w:b/>
          <w:bCs/>
        </w:rPr>
        <w:t>Metoda porovnávací</w:t>
      </w:r>
      <w:r w:rsidRPr="00044446">
        <w:t xml:space="preserve"> (komparativní, srovnávací)</w:t>
      </w:r>
    </w:p>
    <w:p w14:paraId="06D7D1C3" w14:textId="77777777" w:rsidR="00044446" w:rsidRPr="00044446" w:rsidRDefault="00044446" w:rsidP="00044446">
      <w:r w:rsidRPr="00044446">
        <w:t>Metoda je založena na porovnání předmětné nemovité věci s obdobnými, jejichž ceny byly v nedávné minulosti na trhu realizovány, jsou známé a ze získané informace je možno vyhodnotit jak hodnotu samotné stavby či souboru staveb, tak hodnotu pozemku.</w:t>
      </w:r>
    </w:p>
    <w:p w14:paraId="2096EAA0" w14:textId="77777777" w:rsidR="00044446" w:rsidRPr="00044446" w:rsidRDefault="00044446" w:rsidP="00044446">
      <w:r w:rsidRPr="00044446">
        <w:br w:type="page"/>
      </w:r>
    </w:p>
    <w:p w14:paraId="58B3CC39" w14:textId="77777777" w:rsidR="00044446" w:rsidRPr="00044446" w:rsidRDefault="00044446" w:rsidP="00044446">
      <w:r w:rsidRPr="00044446">
        <w:lastRenderedPageBreak/>
        <w:t xml:space="preserve">Na zjištěná data byla v rámci ocenění aplikovaná obecná metodologie pro odhad ceny obvyklé (tržní hodnoty). </w:t>
      </w:r>
    </w:p>
    <w:p w14:paraId="04AE8738" w14:textId="77777777" w:rsidR="00044446" w:rsidRPr="00044446" w:rsidRDefault="00044446" w:rsidP="00044446"/>
    <w:p w14:paraId="36862106" w14:textId="77777777" w:rsidR="00044446" w:rsidRPr="00044446" w:rsidRDefault="00044446" w:rsidP="00044446"/>
    <w:p w14:paraId="52ADA710" w14:textId="77777777" w:rsidR="00044446" w:rsidRPr="00044446" w:rsidRDefault="00044446" w:rsidP="00044446">
      <w:pPr>
        <w:rPr>
          <w:b/>
          <w:bCs/>
        </w:rPr>
      </w:pPr>
      <w:r w:rsidRPr="00044446">
        <w:rPr>
          <w:b/>
          <w:bCs/>
        </w:rPr>
        <w:t>3. NÁLEZ</w:t>
      </w:r>
    </w:p>
    <w:p w14:paraId="6AEF0061" w14:textId="77777777" w:rsidR="00044446" w:rsidRPr="00044446" w:rsidRDefault="00044446" w:rsidP="00044446">
      <w:pPr>
        <w:rPr>
          <w:b/>
          <w:bCs/>
        </w:rPr>
      </w:pPr>
      <w:r w:rsidRPr="00044446">
        <w:rPr>
          <w:b/>
          <w:bCs/>
        </w:rPr>
        <w:t>3.1. Popis postupu při sběru či tvorbě dat</w:t>
      </w:r>
    </w:p>
    <w:p w14:paraId="6DEE74D5" w14:textId="77777777" w:rsidR="00044446" w:rsidRPr="00044446" w:rsidRDefault="00044446" w:rsidP="00044446">
      <w:r w:rsidRPr="00044446">
        <w:t>Vstupní data byla zjištěna při místním šetření nebo poskytnuta vlastníkem/zadavatelem znaleckého posudku nebo byla zjištěna zhotovitelem znaleckého posudku.</w:t>
      </w:r>
    </w:p>
    <w:p w14:paraId="70050949" w14:textId="77777777" w:rsidR="00044446" w:rsidRPr="00044446" w:rsidRDefault="00044446" w:rsidP="00044446">
      <w:pPr>
        <w:rPr>
          <w:b/>
          <w:bCs/>
        </w:rPr>
      </w:pPr>
      <w:r w:rsidRPr="00044446">
        <w:rPr>
          <w:b/>
          <w:bCs/>
        </w:rPr>
        <w:t>3.2. Popis postupu při zpracování dat</w:t>
      </w:r>
    </w:p>
    <w:p w14:paraId="0C4223BE" w14:textId="77777777" w:rsidR="00044446" w:rsidRPr="00044446" w:rsidRDefault="00044446" w:rsidP="00044446">
      <w:r w:rsidRPr="00044446">
        <w:t xml:space="preserve">Při provedeném místním šetření byly zjištěny informace o nemovitostech – obchodně skladových objektech, nacházejících se v předmětné a obdobné lokalitě.  </w:t>
      </w:r>
    </w:p>
    <w:p w14:paraId="6061EAFE" w14:textId="77777777" w:rsidR="00044446" w:rsidRPr="00044446" w:rsidRDefault="00044446" w:rsidP="00044446">
      <w:r w:rsidRPr="00044446">
        <w:t xml:space="preserve">Rovněž byla zajištěna data indikující současný trh nemovitostí v segmentu obchodně skladových objektů. </w:t>
      </w:r>
    </w:p>
    <w:p w14:paraId="2780EA3E" w14:textId="77777777" w:rsidR="00044446" w:rsidRPr="00044446" w:rsidRDefault="00044446" w:rsidP="00044446">
      <w:r w:rsidRPr="00044446">
        <w:t xml:space="preserve">Data byla zpracovaná způsobem, který odpovídá obvyklé analýze dat. </w:t>
      </w:r>
    </w:p>
    <w:p w14:paraId="4E65201F" w14:textId="77777777" w:rsidR="00044446" w:rsidRPr="00044446" w:rsidRDefault="00044446" w:rsidP="00044446">
      <w:pPr>
        <w:rPr>
          <w:b/>
          <w:bCs/>
        </w:rPr>
      </w:pPr>
      <w:r w:rsidRPr="00044446">
        <w:br w:type="page"/>
      </w:r>
      <w:r w:rsidRPr="00044446">
        <w:rPr>
          <w:b/>
          <w:bCs/>
        </w:rPr>
        <w:lastRenderedPageBreak/>
        <w:t>Dokumentace a skutečnost</w:t>
      </w:r>
    </w:p>
    <w:p w14:paraId="188E2B3E" w14:textId="77777777" w:rsidR="00044446" w:rsidRPr="00044446" w:rsidRDefault="00044446" w:rsidP="00044446">
      <w:r w:rsidRPr="00044446">
        <w:t>Stavební dokumentace nebyla předložena, skutečný stav objektu byl ověřen při místním šetření.</w:t>
      </w:r>
    </w:p>
    <w:p w14:paraId="08111A4D" w14:textId="77777777" w:rsidR="00044446" w:rsidRPr="00044446" w:rsidRDefault="00044446" w:rsidP="00044446">
      <w:pPr>
        <w:rPr>
          <w:b/>
          <w:bCs/>
        </w:rPr>
      </w:pPr>
    </w:p>
    <w:p w14:paraId="132AA33D" w14:textId="77777777" w:rsidR="00044446" w:rsidRPr="00044446" w:rsidRDefault="00044446" w:rsidP="00044446">
      <w:pPr>
        <w:rPr>
          <w:b/>
          <w:bCs/>
        </w:rPr>
      </w:pPr>
    </w:p>
    <w:p w14:paraId="65C51587" w14:textId="77777777" w:rsidR="00044446" w:rsidRPr="00044446" w:rsidRDefault="00044446" w:rsidP="00044446">
      <w:pPr>
        <w:rPr>
          <w:b/>
          <w:bCs/>
        </w:rPr>
      </w:pPr>
      <w:r w:rsidRPr="00044446">
        <w:rPr>
          <w:b/>
          <w:bCs/>
        </w:rPr>
        <w:t>Celkový popis nemovité věci</w:t>
      </w:r>
    </w:p>
    <w:p w14:paraId="54D7C8FD" w14:textId="172401C0" w:rsidR="00044446" w:rsidRDefault="00044446" w:rsidP="00044446">
      <w:r w:rsidRPr="00044446">
        <w:t>Předmětem ocenění j</w:t>
      </w:r>
      <w:r w:rsidR="00024C54">
        <w:t xml:space="preserve">e uvažovaná </w:t>
      </w:r>
      <w:proofErr w:type="gramStart"/>
      <w:r w:rsidR="00024C54">
        <w:t xml:space="preserve">plocha </w:t>
      </w:r>
      <w:r w:rsidR="00075995">
        <w:t xml:space="preserve"> A</w:t>
      </w:r>
      <w:proofErr w:type="gramEnd"/>
      <w:r w:rsidR="00075995">
        <w:t xml:space="preserve">  v </w:t>
      </w:r>
      <w:proofErr w:type="gramStart"/>
      <w:r w:rsidR="00075995">
        <w:t>areálu  bývalých</w:t>
      </w:r>
      <w:proofErr w:type="gramEnd"/>
      <w:r w:rsidR="00075995">
        <w:t xml:space="preserve"> skláren Karolinka. V současnosti jsou na ploše původní</w:t>
      </w:r>
      <w:r w:rsidR="00675E1E">
        <w:t xml:space="preserve"> silně stavebně </w:t>
      </w:r>
      <w:proofErr w:type="gramStart"/>
      <w:r w:rsidR="00675E1E">
        <w:t xml:space="preserve">zhoršené </w:t>
      </w:r>
      <w:r w:rsidR="00075995">
        <w:t xml:space="preserve"> objekty</w:t>
      </w:r>
      <w:proofErr w:type="gramEnd"/>
      <w:r w:rsidR="00075995">
        <w:t xml:space="preserve">, které budou zdemolovány.  Hodnota demolice není uvažována, ani hodnota objektů. Plochy jsou </w:t>
      </w:r>
      <w:proofErr w:type="spellStart"/>
      <w:r w:rsidR="00075995">
        <w:t>napojitelné</w:t>
      </w:r>
      <w:proofErr w:type="spellEnd"/>
      <w:r w:rsidR="00075995">
        <w:t xml:space="preserve"> na všechny inženýrské sítě. </w:t>
      </w:r>
      <w:proofErr w:type="gramStart"/>
      <w:r w:rsidR="00075995">
        <w:t>Rovněž  je</w:t>
      </w:r>
      <w:proofErr w:type="gramEnd"/>
      <w:r w:rsidR="00075995">
        <w:t xml:space="preserve"> zde </w:t>
      </w:r>
      <w:r w:rsidR="00675E1E">
        <w:t xml:space="preserve">možné napojení na páteřní komunikaci procházející Karolinkou. Ekologické zatížení není známo. </w:t>
      </w:r>
      <w:r w:rsidR="00075995">
        <w:t xml:space="preserve"> </w:t>
      </w:r>
    </w:p>
    <w:p w14:paraId="6CC57F98" w14:textId="77777777" w:rsidR="008C5078" w:rsidRDefault="008C5078" w:rsidP="00044446"/>
    <w:p w14:paraId="282A25EB" w14:textId="05A3A566" w:rsidR="008C5078" w:rsidRPr="008C5078" w:rsidRDefault="008C5078" w:rsidP="00044446">
      <w:pPr>
        <w:rPr>
          <w:b/>
          <w:bCs/>
        </w:rPr>
      </w:pPr>
      <w:r w:rsidRPr="008C5078">
        <w:rPr>
          <w:b/>
          <w:bCs/>
        </w:rPr>
        <w:t>Disposice</w:t>
      </w:r>
      <w:r w:rsidR="00075995">
        <w:rPr>
          <w:b/>
          <w:bCs/>
        </w:rPr>
        <w:t>:</w:t>
      </w:r>
    </w:p>
    <w:p w14:paraId="46F91B30" w14:textId="08183453" w:rsidR="008C5078" w:rsidRDefault="00075995" w:rsidP="00044446">
      <w:r>
        <w:t xml:space="preserve">Plocha </w:t>
      </w:r>
      <w:proofErr w:type="gramStart"/>
      <w:r>
        <w:t>A – 8</w:t>
      </w:r>
      <w:proofErr w:type="gramEnd"/>
      <w:r>
        <w:t> </w:t>
      </w:r>
      <w:proofErr w:type="gramStart"/>
      <w:r>
        <w:t>300m2</w:t>
      </w:r>
      <w:proofErr w:type="gramEnd"/>
      <w:r>
        <w:t xml:space="preserve"> – pro obchodní </w:t>
      </w:r>
      <w:proofErr w:type="spellStart"/>
      <w:r>
        <w:t>zona</w:t>
      </w:r>
      <w:proofErr w:type="spellEnd"/>
      <w:r w:rsidR="00024C54">
        <w:t xml:space="preserve"> budoucí</w:t>
      </w:r>
    </w:p>
    <w:p w14:paraId="75466FCB" w14:textId="20B8D485" w:rsidR="00044446" w:rsidRPr="008C5078" w:rsidRDefault="00044446" w:rsidP="00044446">
      <w:pPr>
        <w:rPr>
          <w:b/>
          <w:bCs/>
        </w:rPr>
      </w:pPr>
      <w:r w:rsidRPr="008C5078">
        <w:rPr>
          <w:b/>
          <w:bCs/>
        </w:rPr>
        <w:br w:type="page"/>
      </w:r>
    </w:p>
    <w:p w14:paraId="7FDB42E2" w14:textId="77777777" w:rsidR="00044446" w:rsidRPr="00044446" w:rsidRDefault="00044446" w:rsidP="00044446">
      <w:pPr>
        <w:rPr>
          <w:b/>
          <w:bCs/>
        </w:rPr>
      </w:pPr>
    </w:p>
    <w:p w14:paraId="19A1DEFA" w14:textId="77777777" w:rsidR="00044446" w:rsidRPr="00044446" w:rsidRDefault="00044446" w:rsidP="00044446">
      <w:pPr>
        <w:rPr>
          <w:b/>
          <w:bCs/>
        </w:rPr>
      </w:pPr>
    </w:p>
    <w:p w14:paraId="71F3CE7F" w14:textId="77777777" w:rsidR="00044446" w:rsidRPr="00044446" w:rsidRDefault="00044446" w:rsidP="00044446">
      <w:pPr>
        <w:rPr>
          <w:b/>
          <w:bCs/>
        </w:rPr>
      </w:pPr>
      <w:r w:rsidRPr="00044446">
        <w:rPr>
          <w:b/>
          <w:bCs/>
        </w:rPr>
        <w:t>4. ZNALECKÝ POSUDEK</w:t>
      </w:r>
    </w:p>
    <w:p w14:paraId="3145C863" w14:textId="77777777" w:rsidR="00044446" w:rsidRPr="00044446" w:rsidRDefault="00044446" w:rsidP="00044446">
      <w:pPr>
        <w:rPr>
          <w:b/>
          <w:bCs/>
        </w:rPr>
      </w:pPr>
      <w:r w:rsidRPr="00044446">
        <w:rPr>
          <w:b/>
          <w:bCs/>
        </w:rPr>
        <w:t>4.1. Popis postupu při analýze dat</w:t>
      </w:r>
    </w:p>
    <w:p w14:paraId="5D254751" w14:textId="77777777" w:rsidR="00044446" w:rsidRPr="00044446" w:rsidRDefault="00044446" w:rsidP="00044446">
      <w:r w:rsidRPr="00044446">
        <w:t xml:space="preserve">Při provedeném místním šetření byly zjištěny informace o oceňovaných nemovitostech. Rovněž byla zajištěna data indikující současný trh nemovitostí v segmentu obchodně skladových objektů. Data byla zpracovaná způsobem, který odpovídá obvyklé analýze dat. Cenové informace nabídkových cen realitní inzerce byly podrobeny komparačnímu postupu, založenému na porovnání hlavních </w:t>
      </w:r>
      <w:proofErr w:type="spellStart"/>
      <w:r w:rsidRPr="00044446">
        <w:t>hodnotvorných</w:t>
      </w:r>
      <w:proofErr w:type="spellEnd"/>
      <w:r w:rsidRPr="00044446">
        <w:t xml:space="preserve"> aspektů tohoto druhu nemovitého majetku. Porovnání bylo provedeno postupně vždy mezi všemi porovnávacími vzorky a oceňovanými nemovitostmi. </w:t>
      </w:r>
    </w:p>
    <w:p w14:paraId="7A2DE7F5" w14:textId="77777777" w:rsidR="00044446" w:rsidRPr="00044446" w:rsidRDefault="00044446" w:rsidP="00044446"/>
    <w:p w14:paraId="4E2893AB" w14:textId="77777777" w:rsidR="00044446" w:rsidRPr="00044446" w:rsidRDefault="00044446" w:rsidP="00044446"/>
    <w:p w14:paraId="05B5F618" w14:textId="714EC551" w:rsidR="00044446" w:rsidRDefault="008C5078" w:rsidP="00044446">
      <w:pPr>
        <w:rPr>
          <w:b/>
          <w:bCs/>
          <w:sz w:val="28"/>
          <w:szCs w:val="28"/>
        </w:rPr>
      </w:pPr>
      <w:r w:rsidRPr="00675E1E">
        <w:rPr>
          <w:b/>
          <w:bCs/>
          <w:sz w:val="28"/>
          <w:szCs w:val="28"/>
        </w:rPr>
        <w:t>Vzorky ke srovnání</w:t>
      </w:r>
      <w:r w:rsidR="00075995" w:rsidRPr="00675E1E">
        <w:rPr>
          <w:b/>
          <w:bCs/>
          <w:sz w:val="28"/>
          <w:szCs w:val="28"/>
        </w:rPr>
        <w:t xml:space="preserve"> pro</w:t>
      </w:r>
      <w:r w:rsidR="00675E1E" w:rsidRPr="00675E1E">
        <w:rPr>
          <w:b/>
          <w:bCs/>
          <w:sz w:val="28"/>
          <w:szCs w:val="28"/>
        </w:rPr>
        <w:t xml:space="preserve"> </w:t>
      </w:r>
      <w:r w:rsidR="00075995" w:rsidRPr="00675E1E">
        <w:rPr>
          <w:b/>
          <w:bCs/>
          <w:sz w:val="28"/>
          <w:szCs w:val="28"/>
        </w:rPr>
        <w:t>plochu A</w:t>
      </w:r>
      <w:r w:rsidRPr="00675E1E">
        <w:rPr>
          <w:b/>
          <w:bCs/>
          <w:sz w:val="28"/>
          <w:szCs w:val="28"/>
        </w:rPr>
        <w:t>:</w:t>
      </w:r>
    </w:p>
    <w:p w14:paraId="5D267FA2" w14:textId="77777777" w:rsidR="00675E1E" w:rsidRPr="00675E1E" w:rsidRDefault="00675E1E" w:rsidP="00044446">
      <w:pPr>
        <w:rPr>
          <w:b/>
          <w:bCs/>
          <w:sz w:val="28"/>
          <w:szCs w:val="28"/>
        </w:rPr>
      </w:pPr>
    </w:p>
    <w:p w14:paraId="0C0B55AF" w14:textId="77777777" w:rsidR="00675E1E" w:rsidRDefault="00675E1E" w:rsidP="00044446">
      <w:pPr>
        <w:rPr>
          <w:b/>
          <w:bCs/>
        </w:rPr>
      </w:pPr>
    </w:p>
    <w:p w14:paraId="7F775E54" w14:textId="2F77E812" w:rsidR="00675E1E" w:rsidRPr="00675E1E" w:rsidRDefault="00675E1E" w:rsidP="00675E1E">
      <w:pPr>
        <w:rPr>
          <w:b/>
          <w:bCs/>
        </w:rPr>
      </w:pPr>
      <w:r>
        <w:rPr>
          <w:b/>
          <w:bCs/>
        </w:rPr>
        <w:t>1.</w:t>
      </w:r>
      <w:r w:rsidRPr="00675E1E">
        <w:rPr>
          <w:b/>
          <w:bCs/>
        </w:rPr>
        <w:t xml:space="preserve">Komerční pozemek </w:t>
      </w:r>
      <w:proofErr w:type="spellStart"/>
      <w:r w:rsidRPr="00675E1E">
        <w:rPr>
          <w:b/>
          <w:bCs/>
        </w:rPr>
        <w:t>Frýdland</w:t>
      </w:r>
      <w:proofErr w:type="spellEnd"/>
      <w:r w:rsidRPr="00675E1E">
        <w:rPr>
          <w:b/>
          <w:bCs/>
        </w:rPr>
        <w:t xml:space="preserve"> </w:t>
      </w:r>
    </w:p>
    <w:p w14:paraId="14FC6602" w14:textId="4D0672DE" w:rsidR="00675E1E" w:rsidRPr="00675E1E" w:rsidRDefault="00675E1E" w:rsidP="00044446">
      <w:r w:rsidRPr="00675E1E">
        <w:t>Cena 6 000 000,- Kč</w:t>
      </w:r>
    </w:p>
    <w:p w14:paraId="0D0A80C7" w14:textId="74999917" w:rsidR="00675E1E" w:rsidRPr="00675E1E" w:rsidRDefault="00675E1E" w:rsidP="00044446">
      <w:r w:rsidRPr="00675E1E">
        <w:t>Plocha 1 620 m2</w:t>
      </w:r>
    </w:p>
    <w:p w14:paraId="7B76009B" w14:textId="004850C2" w:rsidR="00675E1E" w:rsidRPr="00675E1E" w:rsidRDefault="00675E1E" w:rsidP="00044446">
      <w:r w:rsidRPr="00675E1E">
        <w:t>Jednotková cena 3 704,- Kč za m2</w:t>
      </w:r>
    </w:p>
    <w:p w14:paraId="1140BBAD" w14:textId="77777777" w:rsidR="00675E1E" w:rsidRDefault="00675E1E" w:rsidP="00044446">
      <w:pPr>
        <w:rPr>
          <w:b/>
          <w:bCs/>
        </w:rPr>
      </w:pPr>
    </w:p>
    <w:p w14:paraId="0FA64A9C" w14:textId="0CE14CB4" w:rsidR="00675E1E" w:rsidRDefault="00675E1E" w:rsidP="00044446">
      <w:pPr>
        <w:rPr>
          <w:b/>
          <w:bCs/>
        </w:rPr>
      </w:pPr>
      <w:r>
        <w:rPr>
          <w:b/>
          <w:bCs/>
          <w:noProof/>
        </w:rPr>
        <w:drawing>
          <wp:inline distT="0" distB="0" distL="0" distR="0" wp14:anchorId="0A079AED" wp14:editId="1CE4BAAD">
            <wp:extent cx="3657600" cy="2508932"/>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4551" cy="2513700"/>
                    </a:xfrm>
                    <a:prstGeom prst="rect">
                      <a:avLst/>
                    </a:prstGeom>
                    <a:noFill/>
                    <a:ln>
                      <a:noFill/>
                    </a:ln>
                  </pic:spPr>
                </pic:pic>
              </a:graphicData>
            </a:graphic>
          </wp:inline>
        </w:drawing>
      </w:r>
    </w:p>
    <w:p w14:paraId="0B149C7A" w14:textId="53B26CA7" w:rsidR="00675E1E" w:rsidRPr="00271CAD" w:rsidRDefault="00675E1E" w:rsidP="00675E1E">
      <w:r w:rsidRPr="00271CAD">
        <w:lastRenderedPageBreak/>
        <w:t>Velmi důležitou vlastností této nemovitosti je ve využití potenciálu pozemku jako takového, neboť je územním plánem určen k občanské vybavenosti, a tudíž zde lze služby rozšířit o ubytování, vybudovat penzion, postavit sportovní halu či objekt pro služby občanům apod. Realizujete zde téměř jakýkoliv projekt spojený s tímto zaměřením.</w:t>
      </w:r>
    </w:p>
    <w:p w14:paraId="30C3BAC1" w14:textId="77777777" w:rsidR="00675E1E" w:rsidRPr="00271CAD" w:rsidRDefault="00675E1E" w:rsidP="00675E1E">
      <w:r w:rsidRPr="00271CAD">
        <w:t xml:space="preserve">Celková výměra pozemku je 1620 m2 </w:t>
      </w:r>
      <w:proofErr w:type="spellStart"/>
      <w:proofErr w:type="gramStart"/>
      <w:r w:rsidRPr="00271CAD">
        <w:t>vč.aktuálně</w:t>
      </w:r>
      <w:proofErr w:type="spellEnd"/>
      <w:proofErr w:type="gramEnd"/>
      <w:r w:rsidRPr="00271CAD">
        <w:t xml:space="preserve"> zastavěných ploch (není nastavena míra zastavitelnosti), což v této lokalitě není vůbec málo a takováto nabídka se v Beskydech objevuje jen zřídka. </w:t>
      </w:r>
    </w:p>
    <w:p w14:paraId="5FE04E0F" w14:textId="2652A99A" w:rsidR="00675E1E" w:rsidRPr="00271CAD" w:rsidRDefault="00675E1E" w:rsidP="00675E1E">
      <w:r w:rsidRPr="00271CAD">
        <w:t>.</w:t>
      </w:r>
    </w:p>
    <w:p w14:paraId="3B1F8E62" w14:textId="77777777" w:rsidR="00675E1E" w:rsidRPr="00271CAD" w:rsidRDefault="00000000" w:rsidP="00675E1E">
      <w:r>
        <w:pict w14:anchorId="40A7F519">
          <v:rect id="_x0000_i1025" style="width:0;height:1.5pt" o:hralign="center" o:hrstd="t" o:hr="t" fillcolor="#a0a0a0" stroked="f"/>
        </w:pict>
      </w:r>
    </w:p>
    <w:p w14:paraId="44A625E2" w14:textId="77777777" w:rsidR="00675E1E" w:rsidRPr="00271CAD" w:rsidRDefault="00675E1E" w:rsidP="00675E1E">
      <w:r w:rsidRPr="00271CAD">
        <w:t>Celková cena:</w:t>
      </w:r>
    </w:p>
    <w:p w14:paraId="3508389A" w14:textId="77777777" w:rsidR="00675E1E" w:rsidRPr="00271CAD" w:rsidRDefault="00675E1E" w:rsidP="00675E1E">
      <w:r w:rsidRPr="00271CAD">
        <w:t>6</w:t>
      </w:r>
      <w:r w:rsidRPr="00271CAD">
        <w:rPr>
          <w:rFonts w:ascii="Arial" w:hAnsi="Arial" w:cs="Arial"/>
        </w:rPr>
        <w:t>​</w:t>
      </w:r>
      <w:r w:rsidRPr="00271CAD">
        <w:rPr>
          <w:rFonts w:ascii="Aptos" w:hAnsi="Aptos" w:cs="Aptos"/>
        </w:rPr>
        <w:t> </w:t>
      </w:r>
      <w:r w:rsidRPr="00271CAD">
        <w:rPr>
          <w:rFonts w:ascii="Arial" w:hAnsi="Arial" w:cs="Arial"/>
        </w:rPr>
        <w:t>​</w:t>
      </w:r>
      <w:r w:rsidRPr="00271CAD">
        <w:t>0</w:t>
      </w:r>
      <w:r w:rsidRPr="00271CAD">
        <w:rPr>
          <w:rFonts w:ascii="Arial" w:hAnsi="Arial" w:cs="Arial"/>
        </w:rPr>
        <w:t>​</w:t>
      </w:r>
      <w:r w:rsidRPr="00271CAD">
        <w:t>0</w:t>
      </w:r>
      <w:r w:rsidRPr="00271CAD">
        <w:rPr>
          <w:rFonts w:ascii="Arial" w:hAnsi="Arial" w:cs="Arial"/>
        </w:rPr>
        <w:t>​</w:t>
      </w:r>
      <w:r w:rsidRPr="00271CAD">
        <w:t>0</w:t>
      </w:r>
      <w:r w:rsidRPr="00271CAD">
        <w:rPr>
          <w:rFonts w:ascii="Arial" w:hAnsi="Arial" w:cs="Arial"/>
        </w:rPr>
        <w:t>​</w:t>
      </w:r>
      <w:r w:rsidRPr="00271CAD">
        <w:rPr>
          <w:rFonts w:ascii="Aptos" w:hAnsi="Aptos" w:cs="Aptos"/>
        </w:rPr>
        <w:t> </w:t>
      </w:r>
      <w:r w:rsidRPr="00271CAD">
        <w:rPr>
          <w:rFonts w:ascii="Arial" w:hAnsi="Arial" w:cs="Arial"/>
        </w:rPr>
        <w:t>​</w:t>
      </w:r>
      <w:r w:rsidRPr="00271CAD">
        <w:t>0</w:t>
      </w:r>
      <w:r w:rsidRPr="00271CAD">
        <w:rPr>
          <w:rFonts w:ascii="Arial" w:hAnsi="Arial" w:cs="Arial"/>
        </w:rPr>
        <w:t>​</w:t>
      </w:r>
      <w:r w:rsidRPr="00271CAD">
        <w:t>0</w:t>
      </w:r>
      <w:r w:rsidRPr="00271CAD">
        <w:rPr>
          <w:rFonts w:ascii="Arial" w:hAnsi="Arial" w:cs="Arial"/>
        </w:rPr>
        <w:t>​</w:t>
      </w:r>
      <w:r w:rsidRPr="00271CAD">
        <w:t>0</w:t>
      </w:r>
      <w:r w:rsidRPr="00271CAD">
        <w:rPr>
          <w:rFonts w:ascii="Arial" w:hAnsi="Arial" w:cs="Arial"/>
        </w:rPr>
        <w:t>​</w:t>
      </w:r>
      <w:r w:rsidRPr="00271CAD">
        <w:rPr>
          <w:rFonts w:ascii="Aptos" w:hAnsi="Aptos" w:cs="Aptos"/>
        </w:rPr>
        <w:t> </w:t>
      </w:r>
      <w:r w:rsidRPr="00271CAD">
        <w:rPr>
          <w:rFonts w:ascii="Arial" w:hAnsi="Arial" w:cs="Arial"/>
        </w:rPr>
        <w:t>​</w:t>
      </w:r>
      <w:r w:rsidRPr="00271CAD">
        <w:t>K</w:t>
      </w:r>
      <w:r w:rsidRPr="00271CAD">
        <w:rPr>
          <w:rFonts w:ascii="Arial" w:hAnsi="Arial" w:cs="Arial"/>
        </w:rPr>
        <w:t>​</w:t>
      </w:r>
      <w:r w:rsidRPr="00271CAD">
        <w:rPr>
          <w:rFonts w:ascii="Aptos" w:hAnsi="Aptos" w:cs="Aptos"/>
        </w:rPr>
        <w:t>č</w:t>
      </w:r>
      <w:r w:rsidRPr="00271CAD">
        <w:rPr>
          <w:rFonts w:ascii="Arial" w:hAnsi="Arial" w:cs="Arial"/>
        </w:rPr>
        <w:t>​</w:t>
      </w:r>
      <w:r w:rsidRPr="00271CAD">
        <w:t xml:space="preserve"> </w:t>
      </w:r>
      <w:r w:rsidRPr="00271CAD">
        <w:rPr>
          <w:rFonts w:ascii="Arial" w:hAnsi="Arial" w:cs="Arial"/>
        </w:rPr>
        <w:t>​</w:t>
      </w:r>
      <w:r w:rsidRPr="00271CAD">
        <w:t>(</w:t>
      </w:r>
      <w:r w:rsidRPr="00271CAD">
        <w:rPr>
          <w:rFonts w:ascii="Arial" w:hAnsi="Arial" w:cs="Arial"/>
        </w:rPr>
        <w:t>​</w:t>
      </w:r>
      <w:r w:rsidRPr="00271CAD">
        <w:t>3</w:t>
      </w:r>
      <w:r w:rsidRPr="00271CAD">
        <w:rPr>
          <w:rFonts w:ascii="Arial" w:hAnsi="Arial" w:cs="Arial"/>
        </w:rPr>
        <w:t>​</w:t>
      </w:r>
      <w:r w:rsidRPr="00271CAD">
        <w:rPr>
          <w:rFonts w:ascii="Aptos" w:hAnsi="Aptos" w:cs="Aptos"/>
        </w:rPr>
        <w:t> </w:t>
      </w:r>
      <w:r w:rsidRPr="00271CAD">
        <w:rPr>
          <w:rFonts w:ascii="Arial" w:hAnsi="Arial" w:cs="Arial"/>
        </w:rPr>
        <w:t>​</w:t>
      </w:r>
      <w:r w:rsidRPr="00271CAD">
        <w:t>7</w:t>
      </w:r>
      <w:r w:rsidRPr="00271CAD">
        <w:rPr>
          <w:rFonts w:ascii="Arial" w:hAnsi="Arial" w:cs="Arial"/>
        </w:rPr>
        <w:t>​</w:t>
      </w:r>
      <w:r w:rsidRPr="00271CAD">
        <w:t>0</w:t>
      </w:r>
      <w:r w:rsidRPr="00271CAD">
        <w:rPr>
          <w:rFonts w:ascii="Arial" w:hAnsi="Arial" w:cs="Arial"/>
        </w:rPr>
        <w:t>​</w:t>
      </w:r>
      <w:r w:rsidRPr="00271CAD">
        <w:t>4</w:t>
      </w:r>
      <w:r w:rsidRPr="00271CAD">
        <w:rPr>
          <w:rFonts w:ascii="Arial" w:hAnsi="Arial" w:cs="Arial"/>
        </w:rPr>
        <w:t>​</w:t>
      </w:r>
      <w:r w:rsidRPr="00271CAD">
        <w:rPr>
          <w:rFonts w:ascii="Aptos" w:hAnsi="Aptos" w:cs="Aptos"/>
        </w:rPr>
        <w:t> </w:t>
      </w:r>
      <w:r w:rsidRPr="00271CAD">
        <w:rPr>
          <w:rFonts w:ascii="Arial" w:hAnsi="Arial" w:cs="Arial"/>
        </w:rPr>
        <w:t>​</w:t>
      </w:r>
      <w:r w:rsidRPr="00271CAD">
        <w:t>K</w:t>
      </w:r>
      <w:r w:rsidRPr="00271CAD">
        <w:rPr>
          <w:rFonts w:ascii="Arial" w:hAnsi="Arial" w:cs="Arial"/>
        </w:rPr>
        <w:t>​</w:t>
      </w:r>
      <w:r w:rsidRPr="00271CAD">
        <w:rPr>
          <w:rFonts w:ascii="Aptos" w:hAnsi="Aptos" w:cs="Aptos"/>
        </w:rPr>
        <w:t>č</w:t>
      </w:r>
      <w:r w:rsidRPr="00271CAD">
        <w:rPr>
          <w:rFonts w:ascii="Arial" w:hAnsi="Arial" w:cs="Arial"/>
        </w:rPr>
        <w:t>​</w:t>
      </w:r>
      <w:r w:rsidRPr="00271CAD">
        <w:t>/</w:t>
      </w:r>
      <w:r w:rsidRPr="00271CAD">
        <w:rPr>
          <w:rFonts w:ascii="Arial" w:hAnsi="Arial" w:cs="Arial"/>
        </w:rPr>
        <w:t>​</w:t>
      </w:r>
      <w:r w:rsidRPr="00271CAD">
        <w:t>m</w:t>
      </w:r>
      <w:r w:rsidRPr="00271CAD">
        <w:rPr>
          <w:rFonts w:ascii="Arial" w:hAnsi="Arial" w:cs="Arial"/>
        </w:rPr>
        <w:t>​</w:t>
      </w:r>
      <w:r w:rsidRPr="00271CAD">
        <w:rPr>
          <w:rFonts w:ascii="Aptos" w:hAnsi="Aptos" w:cs="Aptos"/>
        </w:rPr>
        <w:t>²</w:t>
      </w:r>
      <w:r w:rsidRPr="00271CAD">
        <w:rPr>
          <w:rFonts w:ascii="Arial" w:hAnsi="Arial" w:cs="Arial"/>
        </w:rPr>
        <w:t>​</w:t>
      </w:r>
      <w:r w:rsidRPr="00271CAD">
        <w:t>)</w:t>
      </w:r>
      <w:r w:rsidRPr="00271CAD">
        <w:rPr>
          <w:rFonts w:ascii="Arial" w:hAnsi="Arial" w:cs="Arial"/>
        </w:rPr>
        <w:t>​</w:t>
      </w:r>
    </w:p>
    <w:p w14:paraId="17703C32" w14:textId="77777777" w:rsidR="00675E1E" w:rsidRPr="00271CAD" w:rsidRDefault="00000000" w:rsidP="00675E1E">
      <w:r>
        <w:pict w14:anchorId="0672A6AA">
          <v:rect id="_x0000_i1026" style="width:0;height:1.5pt" o:hralign="center" o:hrstd="t" o:hr="t" fillcolor="#a0a0a0" stroked="f"/>
        </w:pict>
      </w:r>
    </w:p>
    <w:p w14:paraId="47C2123F" w14:textId="77777777" w:rsidR="00675E1E" w:rsidRPr="00271CAD" w:rsidRDefault="00675E1E" w:rsidP="00675E1E">
      <w:r w:rsidRPr="00271CAD">
        <w:t>Poznámka k ceně:</w:t>
      </w:r>
    </w:p>
    <w:p w14:paraId="7B42CAAF" w14:textId="77777777" w:rsidR="00675E1E" w:rsidRPr="00271CAD" w:rsidRDefault="00675E1E" w:rsidP="00675E1E">
      <w:r w:rsidRPr="00271CAD">
        <w:t>Advokátní úschova peněz a právní servis samozřejmostí</w:t>
      </w:r>
    </w:p>
    <w:p w14:paraId="4C668692" w14:textId="77777777" w:rsidR="00675E1E" w:rsidRPr="00271CAD" w:rsidRDefault="00000000" w:rsidP="00675E1E">
      <w:r>
        <w:pict w14:anchorId="77706E6B">
          <v:rect id="_x0000_i1027" style="width:0;height:1.5pt" o:hralign="center" o:hrstd="t" o:hr="t" fillcolor="#a0a0a0" stroked="f"/>
        </w:pict>
      </w:r>
    </w:p>
    <w:p w14:paraId="14457791" w14:textId="77777777" w:rsidR="00675E1E" w:rsidRPr="00271CAD" w:rsidRDefault="00675E1E" w:rsidP="00675E1E">
      <w:r w:rsidRPr="00271CAD">
        <w:t>Infrastruktura:</w:t>
      </w:r>
    </w:p>
    <w:p w14:paraId="4808B810" w14:textId="77777777" w:rsidR="00675E1E" w:rsidRPr="00271CAD" w:rsidRDefault="00675E1E" w:rsidP="00675E1E">
      <w:r w:rsidRPr="00271CAD">
        <w:t>Plynovod, Veřejná kanalizace</w:t>
      </w:r>
    </w:p>
    <w:p w14:paraId="118A151B" w14:textId="77777777" w:rsidR="00675E1E" w:rsidRPr="00271CAD" w:rsidRDefault="00000000" w:rsidP="00675E1E">
      <w:r>
        <w:pict w14:anchorId="2F48F496">
          <v:rect id="_x0000_i1028" style="width:0;height:1.5pt" o:hralign="center" o:hrstd="t" o:hr="t" fillcolor="#a0a0a0" stroked="f"/>
        </w:pict>
      </w:r>
    </w:p>
    <w:p w14:paraId="795877BC" w14:textId="77777777" w:rsidR="00675E1E" w:rsidRPr="00271CAD" w:rsidRDefault="00675E1E" w:rsidP="00675E1E">
      <w:r w:rsidRPr="00271CAD">
        <w:t>Plocha:</w:t>
      </w:r>
    </w:p>
    <w:p w14:paraId="51F659B6" w14:textId="77777777" w:rsidR="00675E1E" w:rsidRPr="00271CAD" w:rsidRDefault="00675E1E" w:rsidP="00675E1E">
      <w:r w:rsidRPr="00271CAD">
        <w:t>Plocha pozemku 1 620 m²</w:t>
      </w:r>
    </w:p>
    <w:p w14:paraId="72DC830A" w14:textId="77777777" w:rsidR="00675E1E" w:rsidRPr="00271CAD" w:rsidRDefault="00000000" w:rsidP="00675E1E">
      <w:r>
        <w:pict w14:anchorId="1CDBDFC2">
          <v:rect id="_x0000_i1029" style="width:0;height:1.5pt" o:hralign="center" o:hrstd="t" o:hr="t" fillcolor="#a0a0a0" stroked="f"/>
        </w:pict>
      </w:r>
    </w:p>
    <w:p w14:paraId="088DEE9A" w14:textId="77777777" w:rsidR="00675E1E" w:rsidRPr="00675E1E" w:rsidRDefault="00675E1E" w:rsidP="00675E1E">
      <w:pPr>
        <w:ind w:left="360"/>
        <w:rPr>
          <w:b/>
          <w:bCs/>
        </w:rPr>
      </w:pPr>
    </w:p>
    <w:p w14:paraId="256CDAF2" w14:textId="77777777" w:rsidR="004E6C2B" w:rsidRDefault="004E6C2B" w:rsidP="004E6C2B">
      <w:pPr>
        <w:rPr>
          <w:b/>
          <w:bCs/>
        </w:rPr>
      </w:pPr>
    </w:p>
    <w:p w14:paraId="74D9C741" w14:textId="2326215E" w:rsidR="00A715FC" w:rsidRPr="00675E1E" w:rsidRDefault="00A715FC" w:rsidP="00A715FC">
      <w:pPr>
        <w:rPr>
          <w:b/>
          <w:bCs/>
        </w:rPr>
      </w:pPr>
      <w:r>
        <w:rPr>
          <w:b/>
          <w:bCs/>
        </w:rPr>
        <w:t>3.</w:t>
      </w:r>
      <w:r w:rsidRPr="00675E1E">
        <w:rPr>
          <w:b/>
          <w:bCs/>
        </w:rPr>
        <w:t xml:space="preserve">Komerční pozemek </w:t>
      </w:r>
      <w:r>
        <w:rPr>
          <w:b/>
          <w:bCs/>
        </w:rPr>
        <w:t>Lípa</w:t>
      </w:r>
    </w:p>
    <w:p w14:paraId="61BE07C4" w14:textId="77777777" w:rsidR="00A715FC" w:rsidRPr="00675E1E" w:rsidRDefault="00A715FC" w:rsidP="00A715FC">
      <w:r w:rsidRPr="00675E1E">
        <w:t xml:space="preserve">Cena </w:t>
      </w:r>
      <w:r>
        <w:t>45 590 400</w:t>
      </w:r>
      <w:r w:rsidRPr="00675E1E">
        <w:t>,- Kč</w:t>
      </w:r>
    </w:p>
    <w:p w14:paraId="523CCD7B" w14:textId="77777777" w:rsidR="00A715FC" w:rsidRPr="00675E1E" w:rsidRDefault="00A715FC" w:rsidP="00A715FC">
      <w:r w:rsidRPr="00675E1E">
        <w:t xml:space="preserve">Plocha </w:t>
      </w:r>
      <w:r>
        <w:t>14 247</w:t>
      </w:r>
      <w:r w:rsidRPr="00675E1E">
        <w:t xml:space="preserve"> m2</w:t>
      </w:r>
    </w:p>
    <w:p w14:paraId="01A3DB61" w14:textId="77777777" w:rsidR="00A715FC" w:rsidRPr="00675E1E" w:rsidRDefault="00A715FC" w:rsidP="00A715FC">
      <w:r w:rsidRPr="00675E1E">
        <w:t xml:space="preserve">Jednotková cena </w:t>
      </w:r>
      <w:r>
        <w:t>3 200</w:t>
      </w:r>
      <w:r w:rsidRPr="00675E1E">
        <w:t>,- Kč za m2</w:t>
      </w:r>
    </w:p>
    <w:p w14:paraId="29C4474A" w14:textId="168F0A67" w:rsidR="004E6C2B" w:rsidRDefault="004E6C2B" w:rsidP="004E6C2B">
      <w:pPr>
        <w:rPr>
          <w:b/>
          <w:bCs/>
        </w:rPr>
      </w:pPr>
    </w:p>
    <w:p w14:paraId="740DDDF6" w14:textId="77777777" w:rsidR="00A715FC" w:rsidRDefault="00A715FC" w:rsidP="004E6C2B">
      <w:pPr>
        <w:rPr>
          <w:b/>
          <w:bCs/>
        </w:rPr>
      </w:pPr>
    </w:p>
    <w:p w14:paraId="1FE9481D" w14:textId="34241C7F" w:rsidR="00A715FC" w:rsidRPr="00675E1E" w:rsidRDefault="00A715FC" w:rsidP="00A715FC">
      <w:pPr>
        <w:rPr>
          <w:b/>
          <w:bCs/>
        </w:rPr>
      </w:pPr>
      <w:r>
        <w:rPr>
          <w:b/>
          <w:bCs/>
        </w:rPr>
        <w:lastRenderedPageBreak/>
        <w:t>2.</w:t>
      </w:r>
      <w:r w:rsidRPr="00675E1E">
        <w:rPr>
          <w:b/>
          <w:bCs/>
        </w:rPr>
        <w:t xml:space="preserve">Komerční pozemek </w:t>
      </w:r>
      <w:r>
        <w:rPr>
          <w:b/>
          <w:bCs/>
        </w:rPr>
        <w:t>Lípa</w:t>
      </w:r>
    </w:p>
    <w:p w14:paraId="53804B63" w14:textId="70BEDAA6" w:rsidR="00A715FC" w:rsidRPr="00675E1E" w:rsidRDefault="00A715FC" w:rsidP="00A715FC">
      <w:r w:rsidRPr="00675E1E">
        <w:t xml:space="preserve">Cena </w:t>
      </w:r>
      <w:r>
        <w:t>45 590 400</w:t>
      </w:r>
      <w:r w:rsidRPr="00675E1E">
        <w:t>,- Kč</w:t>
      </w:r>
    </w:p>
    <w:p w14:paraId="7BD90069" w14:textId="03107AF0" w:rsidR="00A715FC" w:rsidRPr="00675E1E" w:rsidRDefault="00A715FC" w:rsidP="00A715FC">
      <w:r w:rsidRPr="00675E1E">
        <w:t xml:space="preserve">Plocha </w:t>
      </w:r>
      <w:r>
        <w:t>14 247</w:t>
      </w:r>
      <w:r w:rsidRPr="00675E1E">
        <w:t xml:space="preserve"> m2</w:t>
      </w:r>
    </w:p>
    <w:p w14:paraId="4EF1A81E" w14:textId="6C6447C9" w:rsidR="00A715FC" w:rsidRPr="00675E1E" w:rsidRDefault="00A715FC" w:rsidP="00A715FC">
      <w:r w:rsidRPr="00675E1E">
        <w:t xml:space="preserve">Jednotková cena </w:t>
      </w:r>
      <w:r>
        <w:t>3 200</w:t>
      </w:r>
      <w:r w:rsidRPr="00675E1E">
        <w:t>,- Kč za m2</w:t>
      </w:r>
    </w:p>
    <w:p w14:paraId="27CB5700" w14:textId="77777777" w:rsidR="00A715FC" w:rsidRDefault="00A715FC" w:rsidP="00A715FC">
      <w:pPr>
        <w:rPr>
          <w:b/>
          <w:bCs/>
        </w:rPr>
      </w:pPr>
    </w:p>
    <w:p w14:paraId="7B1C0CF5" w14:textId="77777777" w:rsidR="004E6C2B" w:rsidRDefault="004E6C2B" w:rsidP="004E6C2B">
      <w:pPr>
        <w:rPr>
          <w:b/>
          <w:bCs/>
        </w:rPr>
      </w:pPr>
    </w:p>
    <w:p w14:paraId="2D63BEB2" w14:textId="2BE9B8B4" w:rsidR="004E6C2B" w:rsidRDefault="00A715FC" w:rsidP="004E6C2B">
      <w:pPr>
        <w:rPr>
          <w:b/>
          <w:bCs/>
        </w:rPr>
      </w:pPr>
      <w:r>
        <w:rPr>
          <w:noProof/>
        </w:rPr>
        <w:drawing>
          <wp:inline distT="0" distB="0" distL="0" distR="0" wp14:anchorId="405F96B3" wp14:editId="7481DCBD">
            <wp:extent cx="3143250" cy="240427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9964" cy="2409409"/>
                    </a:xfrm>
                    <a:prstGeom prst="rect">
                      <a:avLst/>
                    </a:prstGeom>
                    <a:noFill/>
                    <a:ln>
                      <a:noFill/>
                    </a:ln>
                  </pic:spPr>
                </pic:pic>
              </a:graphicData>
            </a:graphic>
          </wp:inline>
        </w:drawing>
      </w:r>
    </w:p>
    <w:p w14:paraId="61595950" w14:textId="77777777" w:rsidR="00A715FC" w:rsidRDefault="00A715FC" w:rsidP="00A715FC"/>
    <w:p w14:paraId="3E65096C" w14:textId="5E22EA25" w:rsidR="00A715FC" w:rsidRPr="004001B5" w:rsidRDefault="00A715FC" w:rsidP="00A715FC">
      <w:r w:rsidRPr="004001B5">
        <w:t xml:space="preserve">Společnost EURO REALITY ZLÍN exkluzivně nabízí k prodeji rozsáhlé komerční pozemky v atraktivní a dynamicky se rozvíjející lokalitě Lípa nad Dřevnicí, v bezprostřední blízkosti krajského města Zlína. </w:t>
      </w:r>
    </w:p>
    <w:p w14:paraId="45273D70" w14:textId="77777777" w:rsidR="00A715FC" w:rsidRPr="004001B5" w:rsidRDefault="00A715FC" w:rsidP="00A715FC">
      <w:r w:rsidRPr="004001B5">
        <w:t xml:space="preserve">Pozemky jsou situovány ve strategické poloze s výbornou dopravní dostupností a přímým napojením na hlavní dopravní tahy regionu, což z této nabídky činí ideální příležitost pro investory, developery i společnosti hledající reprezentativní zázemí pro své podnikání. </w:t>
      </w:r>
    </w:p>
    <w:p w14:paraId="0D6CDD4A" w14:textId="77777777" w:rsidR="00A715FC" w:rsidRPr="004001B5" w:rsidRDefault="00A715FC" w:rsidP="00A715FC"/>
    <w:p w14:paraId="24720D11" w14:textId="77777777" w:rsidR="00A715FC" w:rsidRPr="004001B5" w:rsidRDefault="00A715FC" w:rsidP="00A715FC">
      <w:r w:rsidRPr="004001B5">
        <w:t>Dle platného územního plánu jsou pozemky určeny ke komerční výstavbě s možností širokého spektra využití, například pro:</w:t>
      </w:r>
    </w:p>
    <w:p w14:paraId="466C0CF5" w14:textId="77777777" w:rsidR="00A715FC" w:rsidRPr="004001B5" w:rsidRDefault="00A715FC" w:rsidP="00A715FC"/>
    <w:p w14:paraId="3A39ED4B" w14:textId="77777777" w:rsidR="00A715FC" w:rsidRPr="004001B5" w:rsidRDefault="00A715FC" w:rsidP="00A715FC">
      <w:r w:rsidRPr="004001B5">
        <w:t xml:space="preserve">   • sídlo společnosti či reprezentativní showroom,</w:t>
      </w:r>
    </w:p>
    <w:p w14:paraId="5B512B5D" w14:textId="77777777" w:rsidR="00A715FC" w:rsidRPr="004001B5" w:rsidRDefault="00A715FC" w:rsidP="00A715FC">
      <w:r w:rsidRPr="004001B5">
        <w:t xml:space="preserve">   • obchodní a prodejní prostory,</w:t>
      </w:r>
    </w:p>
    <w:p w14:paraId="53F975D0" w14:textId="77777777" w:rsidR="00A715FC" w:rsidRPr="004001B5" w:rsidRDefault="00A715FC" w:rsidP="00A715FC">
      <w:r w:rsidRPr="004001B5">
        <w:t xml:space="preserve">   • administrativní, servisní nebo výrobní zázemí,</w:t>
      </w:r>
    </w:p>
    <w:p w14:paraId="24297D0A" w14:textId="77777777" w:rsidR="00A715FC" w:rsidRPr="004001B5" w:rsidRDefault="00A715FC" w:rsidP="00A715FC">
      <w:r w:rsidRPr="004001B5">
        <w:t xml:space="preserve">   • logistické a skladové areály,</w:t>
      </w:r>
    </w:p>
    <w:p w14:paraId="66AE9F41" w14:textId="77777777" w:rsidR="00A715FC" w:rsidRPr="004001B5" w:rsidRDefault="00A715FC" w:rsidP="00A715FC">
      <w:r w:rsidRPr="004001B5">
        <w:t xml:space="preserve">   • kombinované komerční provozy. </w:t>
      </w:r>
    </w:p>
    <w:p w14:paraId="54206A69" w14:textId="77777777" w:rsidR="00A715FC" w:rsidRPr="004001B5" w:rsidRDefault="00A715FC" w:rsidP="00A715FC"/>
    <w:p w14:paraId="7A9F2A43" w14:textId="77777777" w:rsidR="00A715FC" w:rsidRPr="004001B5" w:rsidRDefault="00A715FC" w:rsidP="00A715FC">
      <w:r w:rsidRPr="004001B5">
        <w:t xml:space="preserve">Významnou předností této nabídky je vysoká flexibilita využití území, včetně možnosti rozdělení pozemků na více samostatných celků a jejich následného individuálního prodeje dle konkrétních požadavků budoucích vlastníků. Nemovitost tak představuje zajímavou příležitost jak pro rozsáhlejší developerské projekty, tak pro menší podnikatelské záměry v perspektivní lokalitě v těsné blízkosti Zlína. </w:t>
      </w:r>
    </w:p>
    <w:p w14:paraId="3F7BC4BD" w14:textId="77777777" w:rsidR="00A715FC" w:rsidRPr="004001B5" w:rsidRDefault="00000000" w:rsidP="00A715FC">
      <w:r>
        <w:pict w14:anchorId="5A600762">
          <v:rect id="_x0000_i1030" style="width:0;height:1.5pt" o:hralign="center" o:hrstd="t" o:hr="t" fillcolor="#a0a0a0" stroked="f"/>
        </w:pict>
      </w:r>
    </w:p>
    <w:p w14:paraId="0A376167" w14:textId="77777777" w:rsidR="00A715FC" w:rsidRPr="004001B5" w:rsidRDefault="00A715FC" w:rsidP="00A715FC">
      <w:r w:rsidRPr="004001B5">
        <w:t>Celková cena:</w:t>
      </w:r>
    </w:p>
    <w:p w14:paraId="09A05EA0" w14:textId="77777777" w:rsidR="00A715FC" w:rsidRPr="004001B5" w:rsidRDefault="00A715FC" w:rsidP="00A715FC">
      <w:r w:rsidRPr="004001B5">
        <w:t>4</w:t>
      </w:r>
      <w:r w:rsidRPr="004001B5">
        <w:rPr>
          <w:rFonts w:ascii="Arial" w:hAnsi="Arial" w:cs="Arial"/>
        </w:rPr>
        <w:t>​</w:t>
      </w:r>
      <w:r w:rsidRPr="004001B5">
        <w:t>5</w:t>
      </w:r>
      <w:r w:rsidRPr="004001B5">
        <w:rPr>
          <w:rFonts w:ascii="Arial" w:hAnsi="Arial" w:cs="Arial"/>
        </w:rPr>
        <w:t>​</w:t>
      </w:r>
      <w:r w:rsidRPr="004001B5">
        <w:rPr>
          <w:rFonts w:ascii="Aptos" w:hAnsi="Aptos" w:cs="Aptos"/>
        </w:rPr>
        <w:t> </w:t>
      </w:r>
      <w:r w:rsidRPr="004001B5">
        <w:rPr>
          <w:rFonts w:ascii="Arial" w:hAnsi="Arial" w:cs="Arial"/>
        </w:rPr>
        <w:t>​</w:t>
      </w:r>
      <w:r w:rsidRPr="004001B5">
        <w:t>5</w:t>
      </w:r>
      <w:r w:rsidRPr="004001B5">
        <w:rPr>
          <w:rFonts w:ascii="Arial" w:hAnsi="Arial" w:cs="Arial"/>
        </w:rPr>
        <w:t>​</w:t>
      </w:r>
      <w:r w:rsidRPr="004001B5">
        <w:t>9</w:t>
      </w:r>
      <w:r w:rsidRPr="004001B5">
        <w:rPr>
          <w:rFonts w:ascii="Arial" w:hAnsi="Arial" w:cs="Arial"/>
        </w:rPr>
        <w:t>​</w:t>
      </w:r>
      <w:r w:rsidRPr="004001B5">
        <w:t>0</w:t>
      </w:r>
      <w:r w:rsidRPr="004001B5">
        <w:rPr>
          <w:rFonts w:ascii="Arial" w:hAnsi="Arial" w:cs="Arial"/>
        </w:rPr>
        <w:t>​</w:t>
      </w:r>
      <w:r w:rsidRPr="004001B5">
        <w:rPr>
          <w:rFonts w:ascii="Aptos" w:hAnsi="Aptos" w:cs="Aptos"/>
        </w:rPr>
        <w:t> </w:t>
      </w:r>
      <w:r w:rsidRPr="004001B5">
        <w:rPr>
          <w:rFonts w:ascii="Arial" w:hAnsi="Arial" w:cs="Arial"/>
        </w:rPr>
        <w:t>​</w:t>
      </w:r>
      <w:r w:rsidRPr="004001B5">
        <w:t>4</w:t>
      </w:r>
      <w:r w:rsidRPr="004001B5">
        <w:rPr>
          <w:rFonts w:ascii="Arial" w:hAnsi="Arial" w:cs="Arial"/>
        </w:rPr>
        <w:t>​</w:t>
      </w:r>
      <w:r w:rsidRPr="004001B5">
        <w:t>0</w:t>
      </w:r>
      <w:r w:rsidRPr="004001B5">
        <w:rPr>
          <w:rFonts w:ascii="Arial" w:hAnsi="Arial" w:cs="Arial"/>
        </w:rPr>
        <w:t>​</w:t>
      </w:r>
      <w:r w:rsidRPr="004001B5">
        <w:t>0</w:t>
      </w:r>
      <w:r w:rsidRPr="004001B5">
        <w:rPr>
          <w:rFonts w:ascii="Arial" w:hAnsi="Arial" w:cs="Arial"/>
        </w:rPr>
        <w:t>​</w:t>
      </w:r>
      <w:r w:rsidRPr="004001B5">
        <w:rPr>
          <w:rFonts w:ascii="Aptos" w:hAnsi="Aptos" w:cs="Aptos"/>
        </w:rPr>
        <w:t> </w:t>
      </w:r>
      <w:r w:rsidRPr="004001B5">
        <w:rPr>
          <w:rFonts w:ascii="Arial" w:hAnsi="Arial" w:cs="Arial"/>
        </w:rPr>
        <w:t>​</w:t>
      </w:r>
      <w:r w:rsidRPr="004001B5">
        <w:t>K</w:t>
      </w:r>
      <w:r w:rsidRPr="004001B5">
        <w:rPr>
          <w:rFonts w:ascii="Arial" w:hAnsi="Arial" w:cs="Arial"/>
        </w:rPr>
        <w:t>​</w:t>
      </w:r>
      <w:r w:rsidRPr="004001B5">
        <w:rPr>
          <w:rFonts w:ascii="Aptos" w:hAnsi="Aptos" w:cs="Aptos"/>
        </w:rPr>
        <w:t>č</w:t>
      </w:r>
      <w:r w:rsidRPr="004001B5">
        <w:rPr>
          <w:rFonts w:ascii="Arial" w:hAnsi="Arial" w:cs="Arial"/>
        </w:rPr>
        <w:t>​</w:t>
      </w:r>
      <w:r w:rsidRPr="004001B5">
        <w:t xml:space="preserve"> </w:t>
      </w:r>
      <w:r w:rsidRPr="004001B5">
        <w:rPr>
          <w:rFonts w:ascii="Arial" w:hAnsi="Arial" w:cs="Arial"/>
        </w:rPr>
        <w:t>​</w:t>
      </w:r>
      <w:r w:rsidRPr="004001B5">
        <w:t>(</w:t>
      </w:r>
      <w:r w:rsidRPr="004001B5">
        <w:rPr>
          <w:rFonts w:ascii="Arial" w:hAnsi="Arial" w:cs="Arial"/>
        </w:rPr>
        <w:t>​</w:t>
      </w:r>
      <w:r w:rsidRPr="004001B5">
        <w:t>3</w:t>
      </w:r>
      <w:r w:rsidRPr="004001B5">
        <w:rPr>
          <w:rFonts w:ascii="Arial" w:hAnsi="Arial" w:cs="Arial"/>
        </w:rPr>
        <w:t>​</w:t>
      </w:r>
      <w:r w:rsidRPr="004001B5">
        <w:rPr>
          <w:rFonts w:ascii="Aptos" w:hAnsi="Aptos" w:cs="Aptos"/>
        </w:rPr>
        <w:t> </w:t>
      </w:r>
      <w:r w:rsidRPr="004001B5">
        <w:rPr>
          <w:rFonts w:ascii="Arial" w:hAnsi="Arial" w:cs="Arial"/>
        </w:rPr>
        <w:t>​</w:t>
      </w:r>
      <w:r w:rsidRPr="004001B5">
        <w:t>2</w:t>
      </w:r>
      <w:r w:rsidRPr="004001B5">
        <w:rPr>
          <w:rFonts w:ascii="Arial" w:hAnsi="Arial" w:cs="Arial"/>
        </w:rPr>
        <w:t>​</w:t>
      </w:r>
      <w:r w:rsidRPr="004001B5">
        <w:t>0</w:t>
      </w:r>
      <w:r w:rsidRPr="004001B5">
        <w:rPr>
          <w:rFonts w:ascii="Arial" w:hAnsi="Arial" w:cs="Arial"/>
        </w:rPr>
        <w:t>​</w:t>
      </w:r>
      <w:r w:rsidRPr="004001B5">
        <w:t>0</w:t>
      </w:r>
      <w:r w:rsidRPr="004001B5">
        <w:rPr>
          <w:rFonts w:ascii="Arial" w:hAnsi="Arial" w:cs="Arial"/>
        </w:rPr>
        <w:t>​</w:t>
      </w:r>
      <w:r w:rsidRPr="004001B5">
        <w:rPr>
          <w:rFonts w:ascii="Aptos" w:hAnsi="Aptos" w:cs="Aptos"/>
        </w:rPr>
        <w:t> </w:t>
      </w:r>
      <w:r w:rsidRPr="004001B5">
        <w:rPr>
          <w:rFonts w:ascii="Arial" w:hAnsi="Arial" w:cs="Arial"/>
        </w:rPr>
        <w:t>​</w:t>
      </w:r>
      <w:r w:rsidRPr="004001B5">
        <w:t>K</w:t>
      </w:r>
      <w:r w:rsidRPr="004001B5">
        <w:rPr>
          <w:rFonts w:ascii="Arial" w:hAnsi="Arial" w:cs="Arial"/>
        </w:rPr>
        <w:t>​</w:t>
      </w:r>
      <w:r w:rsidRPr="004001B5">
        <w:rPr>
          <w:rFonts w:ascii="Aptos" w:hAnsi="Aptos" w:cs="Aptos"/>
        </w:rPr>
        <w:t>č</w:t>
      </w:r>
      <w:r w:rsidRPr="004001B5">
        <w:rPr>
          <w:rFonts w:ascii="Arial" w:hAnsi="Arial" w:cs="Arial"/>
        </w:rPr>
        <w:t>​</w:t>
      </w:r>
      <w:r w:rsidRPr="004001B5">
        <w:t>/</w:t>
      </w:r>
      <w:r w:rsidRPr="004001B5">
        <w:rPr>
          <w:rFonts w:ascii="Arial" w:hAnsi="Arial" w:cs="Arial"/>
        </w:rPr>
        <w:t>​</w:t>
      </w:r>
      <w:r w:rsidRPr="004001B5">
        <w:t>m</w:t>
      </w:r>
      <w:r w:rsidRPr="004001B5">
        <w:rPr>
          <w:rFonts w:ascii="Arial" w:hAnsi="Arial" w:cs="Arial"/>
        </w:rPr>
        <w:t>​</w:t>
      </w:r>
      <w:r w:rsidRPr="004001B5">
        <w:rPr>
          <w:rFonts w:ascii="Aptos" w:hAnsi="Aptos" w:cs="Aptos"/>
        </w:rPr>
        <w:t>²</w:t>
      </w:r>
      <w:r w:rsidRPr="004001B5">
        <w:rPr>
          <w:rFonts w:ascii="Arial" w:hAnsi="Arial" w:cs="Arial"/>
        </w:rPr>
        <w:t>​</w:t>
      </w:r>
      <w:r w:rsidRPr="004001B5">
        <w:t>)</w:t>
      </w:r>
      <w:r w:rsidRPr="004001B5">
        <w:rPr>
          <w:rFonts w:ascii="Arial" w:hAnsi="Arial" w:cs="Arial"/>
        </w:rPr>
        <w:t>​</w:t>
      </w:r>
    </w:p>
    <w:p w14:paraId="685AC80F" w14:textId="77777777" w:rsidR="00A715FC" w:rsidRPr="004001B5" w:rsidRDefault="00000000" w:rsidP="00A715FC">
      <w:r>
        <w:pict w14:anchorId="31081A36">
          <v:rect id="_x0000_i1031" style="width:0;height:1.5pt" o:hralign="center" o:hrstd="t" o:hr="t" fillcolor="#a0a0a0" stroked="f"/>
        </w:pict>
      </w:r>
    </w:p>
    <w:p w14:paraId="7DB9E088" w14:textId="77777777" w:rsidR="00A715FC" w:rsidRPr="004001B5" w:rsidRDefault="00A715FC" w:rsidP="00A715FC">
      <w:r w:rsidRPr="004001B5">
        <w:t>Poznámka k ceně:</w:t>
      </w:r>
    </w:p>
    <w:p w14:paraId="5EE7AFA0" w14:textId="77777777" w:rsidR="00A715FC" w:rsidRPr="004001B5" w:rsidRDefault="00A715FC" w:rsidP="00A715FC">
      <w:r w:rsidRPr="004001B5">
        <w:t>Bez DPH</w:t>
      </w:r>
    </w:p>
    <w:p w14:paraId="79496E74" w14:textId="77777777" w:rsidR="00A715FC" w:rsidRPr="004001B5" w:rsidRDefault="00000000" w:rsidP="00A715FC">
      <w:r>
        <w:pict w14:anchorId="1EE25AC4">
          <v:rect id="_x0000_i1032" style="width:0;height:1.5pt" o:hralign="center" o:hrstd="t" o:hr="t" fillcolor="#a0a0a0" stroked="f"/>
        </w:pict>
      </w:r>
    </w:p>
    <w:p w14:paraId="111F5679" w14:textId="77777777" w:rsidR="00A715FC" w:rsidRPr="004001B5" w:rsidRDefault="00A715FC" w:rsidP="00A715FC">
      <w:r w:rsidRPr="004001B5">
        <w:t>Plocha:</w:t>
      </w:r>
    </w:p>
    <w:p w14:paraId="7A451D05" w14:textId="77777777" w:rsidR="00A715FC" w:rsidRPr="004001B5" w:rsidRDefault="00A715FC" w:rsidP="00A715FC">
      <w:r w:rsidRPr="004001B5">
        <w:t>Plocha pozemku 14 247 m²</w:t>
      </w:r>
    </w:p>
    <w:p w14:paraId="6818D761" w14:textId="77777777" w:rsidR="00675E1E" w:rsidRDefault="00675E1E" w:rsidP="008C5078"/>
    <w:p w14:paraId="0257BB44" w14:textId="77777777" w:rsidR="00675E1E" w:rsidRDefault="00675E1E" w:rsidP="008C5078"/>
    <w:p w14:paraId="792D5D62" w14:textId="77777777" w:rsidR="00675E1E" w:rsidRDefault="00675E1E" w:rsidP="008C5078"/>
    <w:p w14:paraId="131FA3BF" w14:textId="77777777" w:rsidR="00675E1E" w:rsidRDefault="00675E1E" w:rsidP="008C5078"/>
    <w:p w14:paraId="3214C55D" w14:textId="77777777" w:rsidR="00A715FC" w:rsidRDefault="00A715FC" w:rsidP="008C5078"/>
    <w:p w14:paraId="0D9B5EA6" w14:textId="77777777" w:rsidR="00A715FC" w:rsidRDefault="00A715FC" w:rsidP="008C5078"/>
    <w:p w14:paraId="12986D3A" w14:textId="77777777" w:rsidR="00A715FC" w:rsidRDefault="00A715FC" w:rsidP="008C5078"/>
    <w:p w14:paraId="139AF8E6" w14:textId="77777777" w:rsidR="00A715FC" w:rsidRDefault="00A715FC" w:rsidP="008C5078"/>
    <w:p w14:paraId="35BC243E" w14:textId="77777777" w:rsidR="00024C54" w:rsidRDefault="00024C54" w:rsidP="008C5078"/>
    <w:p w14:paraId="2C857395" w14:textId="77777777" w:rsidR="00024C54" w:rsidRDefault="00024C54" w:rsidP="008C5078"/>
    <w:p w14:paraId="7589B474" w14:textId="77777777" w:rsidR="00024C54" w:rsidRDefault="00024C54" w:rsidP="008C5078"/>
    <w:p w14:paraId="37B4A414" w14:textId="77777777" w:rsidR="00024C54" w:rsidRDefault="00024C54" w:rsidP="008C5078"/>
    <w:p w14:paraId="15FB26F0" w14:textId="77777777" w:rsidR="00675E1E" w:rsidRDefault="00675E1E" w:rsidP="008C5078"/>
    <w:p w14:paraId="3BD908BC" w14:textId="77777777" w:rsidR="00675E1E" w:rsidRDefault="00675E1E" w:rsidP="008C5078"/>
    <w:p w14:paraId="3E439785" w14:textId="28075A00" w:rsidR="00A715FC" w:rsidRPr="00675E1E" w:rsidRDefault="00A715FC" w:rsidP="00A715FC">
      <w:pPr>
        <w:rPr>
          <w:b/>
          <w:bCs/>
        </w:rPr>
      </w:pPr>
      <w:r>
        <w:rPr>
          <w:b/>
          <w:bCs/>
        </w:rPr>
        <w:lastRenderedPageBreak/>
        <w:t>3.</w:t>
      </w:r>
      <w:r w:rsidRPr="00675E1E">
        <w:rPr>
          <w:b/>
          <w:bCs/>
        </w:rPr>
        <w:t xml:space="preserve">Komerční pozemek </w:t>
      </w:r>
      <w:proofErr w:type="gramStart"/>
      <w:r>
        <w:rPr>
          <w:b/>
          <w:bCs/>
        </w:rPr>
        <w:t>Přerov</w:t>
      </w:r>
      <w:r w:rsidR="00024C54">
        <w:rPr>
          <w:b/>
          <w:bCs/>
        </w:rPr>
        <w:t>,</w:t>
      </w:r>
      <w:r>
        <w:rPr>
          <w:b/>
          <w:bCs/>
        </w:rPr>
        <w:t xml:space="preserve">  </w:t>
      </w:r>
      <w:r w:rsidR="00BE2F43">
        <w:rPr>
          <w:b/>
          <w:bCs/>
        </w:rPr>
        <w:t>Lipnická</w:t>
      </w:r>
      <w:proofErr w:type="gramEnd"/>
    </w:p>
    <w:p w14:paraId="42188F13" w14:textId="6068089C" w:rsidR="00A715FC" w:rsidRPr="00675E1E" w:rsidRDefault="00A715FC" w:rsidP="00A715FC">
      <w:r w:rsidRPr="00675E1E">
        <w:t xml:space="preserve">Cena </w:t>
      </w:r>
      <w:r>
        <w:t>20 000 000</w:t>
      </w:r>
      <w:r w:rsidRPr="00675E1E">
        <w:t>,- Kč</w:t>
      </w:r>
    </w:p>
    <w:p w14:paraId="4335A9DD" w14:textId="190C91E9" w:rsidR="00A715FC" w:rsidRPr="00675E1E" w:rsidRDefault="00A715FC" w:rsidP="00A715FC">
      <w:r w:rsidRPr="00675E1E">
        <w:t xml:space="preserve">Plocha </w:t>
      </w:r>
      <w:r>
        <w:t>5 278</w:t>
      </w:r>
      <w:r w:rsidRPr="00675E1E">
        <w:t xml:space="preserve"> m2</w:t>
      </w:r>
    </w:p>
    <w:p w14:paraId="7CC25494" w14:textId="667F1AE0" w:rsidR="00A715FC" w:rsidRPr="00675E1E" w:rsidRDefault="00A715FC" w:rsidP="00A715FC">
      <w:r w:rsidRPr="00675E1E">
        <w:t xml:space="preserve">Jednotková cena </w:t>
      </w:r>
      <w:r>
        <w:t>3 789</w:t>
      </w:r>
      <w:r w:rsidRPr="00675E1E">
        <w:t>,- Kč za m2</w:t>
      </w:r>
    </w:p>
    <w:p w14:paraId="50156A10" w14:textId="77777777" w:rsidR="00A715FC" w:rsidRDefault="00A715FC" w:rsidP="00A715FC"/>
    <w:p w14:paraId="7938B40B" w14:textId="77777777" w:rsidR="00A715FC" w:rsidRDefault="00A715FC" w:rsidP="00A715FC"/>
    <w:p w14:paraId="71F59DF6" w14:textId="77777777" w:rsidR="00A715FC" w:rsidRDefault="00A715FC" w:rsidP="00A715FC"/>
    <w:p w14:paraId="5436E7B7" w14:textId="5DB3F801" w:rsidR="00A715FC" w:rsidRDefault="00A715FC" w:rsidP="00A715FC">
      <w:r>
        <w:rPr>
          <w:noProof/>
        </w:rPr>
        <w:drawing>
          <wp:inline distT="0" distB="0" distL="0" distR="0" wp14:anchorId="6ABC042A" wp14:editId="4AD55099">
            <wp:extent cx="3251899" cy="2481580"/>
            <wp:effectExtent l="0" t="0" r="571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519" cy="2485869"/>
                    </a:xfrm>
                    <a:prstGeom prst="rect">
                      <a:avLst/>
                    </a:prstGeom>
                    <a:noFill/>
                    <a:ln>
                      <a:noFill/>
                    </a:ln>
                  </pic:spPr>
                </pic:pic>
              </a:graphicData>
            </a:graphic>
          </wp:inline>
        </w:drawing>
      </w:r>
    </w:p>
    <w:p w14:paraId="7409E55B" w14:textId="77777777" w:rsidR="00A715FC" w:rsidRDefault="00A715FC" w:rsidP="00A715FC"/>
    <w:p w14:paraId="21B39AC8" w14:textId="77777777" w:rsidR="00A715FC" w:rsidRDefault="00A715FC" w:rsidP="00A715FC"/>
    <w:p w14:paraId="7954FB46" w14:textId="5A41C2F6" w:rsidR="00A715FC" w:rsidRPr="00790C96" w:rsidRDefault="00A715FC" w:rsidP="00A715FC">
      <w:r w:rsidRPr="00790C96">
        <w:t>Ve výhradním zastoupení majitele nabízíme ke koupi rovinatý pozemek pro výstavbu komerčního objektu nacházející se na ulici Lipnická hned u silnice R47 v Přerově. Celková rozloha pozemku činí 5278 metrů čtverečních, rozměr pozemku je 123x46 metrů. Pozemek se nachází cca 1.500 metrů od nájezdu na dálnici D1. Pozemek se nachází v těsné blízkosti nákupního parku Přerov. Dle územního plánu je pozemek určen pro výstavbu polyfunkčního komplexu občanské vybavenosti. Pozemek lze připojit na obecní kanalizaci, elektřinu i vodovod. Více informací Vám sdělí náš specialista na prohlídce.</w:t>
      </w:r>
    </w:p>
    <w:p w14:paraId="4C389CBF" w14:textId="77777777" w:rsidR="00A715FC" w:rsidRPr="00790C96" w:rsidRDefault="00000000" w:rsidP="00A715FC">
      <w:r>
        <w:pict w14:anchorId="00D30E5D">
          <v:rect id="_x0000_i1033" style="width:0;height:1.5pt" o:hralign="center" o:hrstd="t" o:hr="t" fillcolor="#a0a0a0" stroked="f"/>
        </w:pict>
      </w:r>
    </w:p>
    <w:p w14:paraId="32E23004" w14:textId="77777777" w:rsidR="00A715FC" w:rsidRPr="00790C96" w:rsidRDefault="00A715FC" w:rsidP="00A715FC">
      <w:r w:rsidRPr="00790C96">
        <w:t>Celková cena:</w:t>
      </w:r>
    </w:p>
    <w:p w14:paraId="2A58E11F" w14:textId="77777777" w:rsidR="00A715FC" w:rsidRPr="00790C96" w:rsidRDefault="00A715FC" w:rsidP="00A715FC">
      <w:r w:rsidRPr="00790C96">
        <w:t>2</w:t>
      </w:r>
      <w:r w:rsidRPr="00790C96">
        <w:rPr>
          <w:rFonts w:ascii="Arial" w:hAnsi="Arial" w:cs="Arial"/>
        </w:rPr>
        <w:t>​</w:t>
      </w:r>
      <w:r w:rsidRPr="00790C96">
        <w:t>0</w:t>
      </w:r>
      <w:r w:rsidRPr="00790C96">
        <w:rPr>
          <w:rFonts w:ascii="Arial" w:hAnsi="Arial" w:cs="Arial"/>
        </w:rPr>
        <w:t>​</w:t>
      </w:r>
      <w:r w:rsidRPr="00790C96">
        <w:rPr>
          <w:rFonts w:ascii="Aptos" w:hAnsi="Aptos" w:cs="Aptos"/>
        </w:rPr>
        <w:t> </w:t>
      </w:r>
      <w:r w:rsidRPr="00790C96">
        <w:rPr>
          <w:rFonts w:ascii="Arial" w:hAnsi="Arial" w:cs="Arial"/>
        </w:rPr>
        <w:t>​</w:t>
      </w:r>
      <w:r w:rsidRPr="00790C96">
        <w:t>0</w:t>
      </w:r>
      <w:r w:rsidRPr="00790C96">
        <w:rPr>
          <w:rFonts w:ascii="Arial" w:hAnsi="Arial" w:cs="Arial"/>
        </w:rPr>
        <w:t>​</w:t>
      </w:r>
      <w:r w:rsidRPr="00790C96">
        <w:t>0</w:t>
      </w:r>
      <w:r w:rsidRPr="00790C96">
        <w:rPr>
          <w:rFonts w:ascii="Arial" w:hAnsi="Arial" w:cs="Arial"/>
        </w:rPr>
        <w:t>​</w:t>
      </w:r>
      <w:r w:rsidRPr="00790C96">
        <w:t>0</w:t>
      </w:r>
      <w:r w:rsidRPr="00790C96">
        <w:rPr>
          <w:rFonts w:ascii="Arial" w:hAnsi="Arial" w:cs="Arial"/>
        </w:rPr>
        <w:t>​</w:t>
      </w:r>
      <w:r w:rsidRPr="00790C96">
        <w:rPr>
          <w:rFonts w:ascii="Aptos" w:hAnsi="Aptos" w:cs="Aptos"/>
        </w:rPr>
        <w:t> </w:t>
      </w:r>
      <w:r w:rsidRPr="00790C96">
        <w:rPr>
          <w:rFonts w:ascii="Arial" w:hAnsi="Arial" w:cs="Arial"/>
        </w:rPr>
        <w:t>​</w:t>
      </w:r>
      <w:r w:rsidRPr="00790C96">
        <w:t>0</w:t>
      </w:r>
      <w:r w:rsidRPr="00790C96">
        <w:rPr>
          <w:rFonts w:ascii="Arial" w:hAnsi="Arial" w:cs="Arial"/>
        </w:rPr>
        <w:t>​</w:t>
      </w:r>
      <w:r w:rsidRPr="00790C96">
        <w:t>0</w:t>
      </w:r>
      <w:r w:rsidRPr="00790C96">
        <w:rPr>
          <w:rFonts w:ascii="Arial" w:hAnsi="Arial" w:cs="Arial"/>
        </w:rPr>
        <w:t>​</w:t>
      </w:r>
      <w:r w:rsidRPr="00790C96">
        <w:t>0</w:t>
      </w:r>
      <w:r w:rsidRPr="00790C96">
        <w:rPr>
          <w:rFonts w:ascii="Arial" w:hAnsi="Arial" w:cs="Arial"/>
        </w:rPr>
        <w:t>​</w:t>
      </w:r>
      <w:r w:rsidRPr="00790C96">
        <w:rPr>
          <w:rFonts w:ascii="Aptos" w:hAnsi="Aptos" w:cs="Aptos"/>
        </w:rPr>
        <w:t> </w:t>
      </w:r>
      <w:r w:rsidRPr="00790C96">
        <w:rPr>
          <w:rFonts w:ascii="Arial" w:hAnsi="Arial" w:cs="Arial"/>
        </w:rPr>
        <w:t>​</w:t>
      </w:r>
      <w:r w:rsidRPr="00790C96">
        <w:t>K</w:t>
      </w:r>
      <w:r w:rsidRPr="00790C96">
        <w:rPr>
          <w:rFonts w:ascii="Arial" w:hAnsi="Arial" w:cs="Arial"/>
        </w:rPr>
        <w:t>​</w:t>
      </w:r>
      <w:r w:rsidRPr="00790C96">
        <w:rPr>
          <w:rFonts w:ascii="Aptos" w:hAnsi="Aptos" w:cs="Aptos"/>
        </w:rPr>
        <w:t>č</w:t>
      </w:r>
      <w:r w:rsidRPr="00790C96">
        <w:rPr>
          <w:rFonts w:ascii="Arial" w:hAnsi="Arial" w:cs="Arial"/>
        </w:rPr>
        <w:t>​</w:t>
      </w:r>
      <w:r w:rsidRPr="00790C96">
        <w:t xml:space="preserve"> </w:t>
      </w:r>
      <w:r w:rsidRPr="00790C96">
        <w:rPr>
          <w:rFonts w:ascii="Arial" w:hAnsi="Arial" w:cs="Arial"/>
        </w:rPr>
        <w:t>​</w:t>
      </w:r>
      <w:r w:rsidRPr="00790C96">
        <w:t>(</w:t>
      </w:r>
      <w:r w:rsidRPr="00790C96">
        <w:rPr>
          <w:rFonts w:ascii="Arial" w:hAnsi="Arial" w:cs="Arial"/>
        </w:rPr>
        <w:t>​</w:t>
      </w:r>
      <w:r w:rsidRPr="00790C96">
        <w:t>3</w:t>
      </w:r>
      <w:r w:rsidRPr="00790C96">
        <w:rPr>
          <w:rFonts w:ascii="Arial" w:hAnsi="Arial" w:cs="Arial"/>
        </w:rPr>
        <w:t>​</w:t>
      </w:r>
      <w:r w:rsidRPr="00790C96">
        <w:rPr>
          <w:rFonts w:ascii="Aptos" w:hAnsi="Aptos" w:cs="Aptos"/>
        </w:rPr>
        <w:t> </w:t>
      </w:r>
      <w:r w:rsidRPr="00790C96">
        <w:rPr>
          <w:rFonts w:ascii="Arial" w:hAnsi="Arial" w:cs="Arial"/>
        </w:rPr>
        <w:t>​</w:t>
      </w:r>
      <w:r w:rsidRPr="00790C96">
        <w:t>7</w:t>
      </w:r>
      <w:r w:rsidRPr="00790C96">
        <w:rPr>
          <w:rFonts w:ascii="Arial" w:hAnsi="Arial" w:cs="Arial"/>
        </w:rPr>
        <w:t>​</w:t>
      </w:r>
      <w:r w:rsidRPr="00790C96">
        <w:t>8</w:t>
      </w:r>
      <w:r w:rsidRPr="00790C96">
        <w:rPr>
          <w:rFonts w:ascii="Arial" w:hAnsi="Arial" w:cs="Arial"/>
        </w:rPr>
        <w:t>​</w:t>
      </w:r>
      <w:r w:rsidRPr="00790C96">
        <w:t>9</w:t>
      </w:r>
      <w:r w:rsidRPr="00790C96">
        <w:rPr>
          <w:rFonts w:ascii="Arial" w:hAnsi="Arial" w:cs="Arial"/>
        </w:rPr>
        <w:t>​</w:t>
      </w:r>
      <w:r w:rsidRPr="00790C96">
        <w:rPr>
          <w:rFonts w:ascii="Aptos" w:hAnsi="Aptos" w:cs="Aptos"/>
        </w:rPr>
        <w:t> </w:t>
      </w:r>
      <w:r w:rsidRPr="00790C96">
        <w:rPr>
          <w:rFonts w:ascii="Arial" w:hAnsi="Arial" w:cs="Arial"/>
        </w:rPr>
        <w:t>​</w:t>
      </w:r>
      <w:r w:rsidRPr="00790C96">
        <w:t>K</w:t>
      </w:r>
      <w:r w:rsidRPr="00790C96">
        <w:rPr>
          <w:rFonts w:ascii="Arial" w:hAnsi="Arial" w:cs="Arial"/>
        </w:rPr>
        <w:t>​</w:t>
      </w:r>
      <w:r w:rsidRPr="00790C96">
        <w:rPr>
          <w:rFonts w:ascii="Aptos" w:hAnsi="Aptos" w:cs="Aptos"/>
        </w:rPr>
        <w:t>č</w:t>
      </w:r>
      <w:r w:rsidRPr="00790C96">
        <w:rPr>
          <w:rFonts w:ascii="Arial" w:hAnsi="Arial" w:cs="Arial"/>
        </w:rPr>
        <w:t>​</w:t>
      </w:r>
      <w:r w:rsidRPr="00790C96">
        <w:t>/</w:t>
      </w:r>
      <w:r w:rsidRPr="00790C96">
        <w:rPr>
          <w:rFonts w:ascii="Arial" w:hAnsi="Arial" w:cs="Arial"/>
        </w:rPr>
        <w:t>​</w:t>
      </w:r>
      <w:r w:rsidRPr="00790C96">
        <w:t>m</w:t>
      </w:r>
      <w:r w:rsidRPr="00790C96">
        <w:rPr>
          <w:rFonts w:ascii="Arial" w:hAnsi="Arial" w:cs="Arial"/>
        </w:rPr>
        <w:t>​</w:t>
      </w:r>
      <w:r w:rsidRPr="00790C96">
        <w:rPr>
          <w:rFonts w:ascii="Aptos" w:hAnsi="Aptos" w:cs="Aptos"/>
        </w:rPr>
        <w:t>²</w:t>
      </w:r>
      <w:r w:rsidRPr="00790C96">
        <w:rPr>
          <w:rFonts w:ascii="Arial" w:hAnsi="Arial" w:cs="Arial"/>
        </w:rPr>
        <w:t>​</w:t>
      </w:r>
      <w:r w:rsidRPr="00790C96">
        <w:t>)</w:t>
      </w:r>
      <w:r w:rsidRPr="00790C96">
        <w:rPr>
          <w:rFonts w:ascii="Arial" w:hAnsi="Arial" w:cs="Arial"/>
        </w:rPr>
        <w:t>​</w:t>
      </w:r>
    </w:p>
    <w:p w14:paraId="2EC129AB" w14:textId="77777777" w:rsidR="00A715FC" w:rsidRPr="00790C96" w:rsidRDefault="00000000" w:rsidP="00A715FC">
      <w:r>
        <w:pict w14:anchorId="3BDAAF5F">
          <v:rect id="_x0000_i1034" style="width:0;height:1.5pt" o:hralign="center" o:hrstd="t" o:hr="t" fillcolor="#a0a0a0" stroked="f"/>
        </w:pict>
      </w:r>
    </w:p>
    <w:p w14:paraId="436862EE" w14:textId="77777777" w:rsidR="00A715FC" w:rsidRPr="00790C96" w:rsidRDefault="00A715FC" w:rsidP="00A715FC">
      <w:r w:rsidRPr="00790C96">
        <w:t>Poznámka k ceně:</w:t>
      </w:r>
    </w:p>
    <w:p w14:paraId="16A82E30" w14:textId="77777777" w:rsidR="00A715FC" w:rsidRPr="00790C96" w:rsidRDefault="00A715FC" w:rsidP="00A715FC">
      <w:r w:rsidRPr="00790C96">
        <w:lastRenderedPageBreak/>
        <w:t>Včetně provize, včetně poplatků</w:t>
      </w:r>
    </w:p>
    <w:p w14:paraId="4D00A63A" w14:textId="77777777" w:rsidR="00A715FC" w:rsidRPr="00790C96" w:rsidRDefault="00000000" w:rsidP="00A715FC">
      <w:r>
        <w:pict w14:anchorId="4F86A215">
          <v:rect id="_x0000_i1035" style="width:0;height:1.5pt" o:hralign="center" o:hrstd="t" o:hr="t" fillcolor="#a0a0a0" stroked="f"/>
        </w:pict>
      </w:r>
    </w:p>
    <w:p w14:paraId="2CF5E127" w14:textId="77777777" w:rsidR="00A715FC" w:rsidRPr="00790C96" w:rsidRDefault="00A715FC" w:rsidP="00A715FC">
      <w:r w:rsidRPr="00790C96">
        <w:t>Infrastruktura:</w:t>
      </w:r>
    </w:p>
    <w:p w14:paraId="6FCB6617" w14:textId="77777777" w:rsidR="00A715FC" w:rsidRPr="00790C96" w:rsidRDefault="00A715FC" w:rsidP="00A715FC">
      <w:r w:rsidRPr="00790C96">
        <w:t>Asfaltová silnice, Vlak, Dálnice, Silnice, MHD, Autobus</w:t>
      </w:r>
    </w:p>
    <w:p w14:paraId="691860C9" w14:textId="77777777" w:rsidR="00A715FC" w:rsidRPr="00790C96" w:rsidRDefault="00000000" w:rsidP="00A715FC">
      <w:r>
        <w:pict w14:anchorId="7B04EB5F">
          <v:rect id="_x0000_i1036" style="width:0;height:1.5pt" o:hralign="center" o:hrstd="t" o:hr="t" fillcolor="#a0a0a0" stroked="f"/>
        </w:pict>
      </w:r>
    </w:p>
    <w:p w14:paraId="6745F687" w14:textId="77777777" w:rsidR="00A715FC" w:rsidRPr="00790C96" w:rsidRDefault="00A715FC" w:rsidP="00A715FC">
      <w:r w:rsidRPr="00790C96">
        <w:t>Plocha:</w:t>
      </w:r>
    </w:p>
    <w:p w14:paraId="020F8E63" w14:textId="77777777" w:rsidR="00A715FC" w:rsidRPr="00790C96" w:rsidRDefault="00A715FC" w:rsidP="00A715FC">
      <w:r w:rsidRPr="00790C96">
        <w:t>Plocha pozemku 5 278 m²</w:t>
      </w:r>
    </w:p>
    <w:p w14:paraId="3CAE8E9C" w14:textId="29D60A50" w:rsidR="00675E1E" w:rsidRDefault="00000000" w:rsidP="00A715FC">
      <w:r>
        <w:pict w14:anchorId="06C6A35C">
          <v:rect id="_x0000_i1037" style="width:0;height:1.5pt" o:hralign="center" o:hrstd="t" o:hr="t" fillcolor="#a0a0a0" stroked="f"/>
        </w:pict>
      </w:r>
    </w:p>
    <w:p w14:paraId="4A50CB39" w14:textId="77777777" w:rsidR="00675E1E" w:rsidRDefault="00675E1E" w:rsidP="008C5078"/>
    <w:p w14:paraId="53B63CC3" w14:textId="77777777" w:rsidR="00BE2F43" w:rsidRDefault="00BE2F43" w:rsidP="008C5078"/>
    <w:p w14:paraId="43CC84BB" w14:textId="77777777" w:rsidR="00BE2F43" w:rsidRDefault="00BE2F43" w:rsidP="008C5078"/>
    <w:p w14:paraId="40DCF0D1" w14:textId="77777777" w:rsidR="00BE2F43" w:rsidRDefault="00BE2F43" w:rsidP="008C5078"/>
    <w:p w14:paraId="20ADFD7E" w14:textId="77777777" w:rsidR="00BE2F43" w:rsidRDefault="00BE2F43" w:rsidP="008C5078"/>
    <w:p w14:paraId="087647DF" w14:textId="77777777" w:rsidR="00BE2F43" w:rsidRDefault="00BE2F43" w:rsidP="008C5078"/>
    <w:p w14:paraId="41025016" w14:textId="77777777" w:rsidR="00BE2F43" w:rsidRDefault="00BE2F43" w:rsidP="008C5078"/>
    <w:p w14:paraId="44E4C400" w14:textId="77777777" w:rsidR="00BE2F43" w:rsidRDefault="00BE2F43" w:rsidP="008C5078"/>
    <w:p w14:paraId="0EF84770" w14:textId="77777777" w:rsidR="00BE2F43" w:rsidRDefault="00BE2F43" w:rsidP="008C5078"/>
    <w:p w14:paraId="5AB73180" w14:textId="77777777" w:rsidR="00BE2F43" w:rsidRDefault="00BE2F43" w:rsidP="008C5078"/>
    <w:p w14:paraId="3E93406B" w14:textId="77777777" w:rsidR="00BE2F43" w:rsidRDefault="00BE2F43" w:rsidP="008C5078"/>
    <w:p w14:paraId="52C257CF" w14:textId="77777777" w:rsidR="00BE2F43" w:rsidRDefault="00BE2F43" w:rsidP="008C5078"/>
    <w:p w14:paraId="5E30FD8A" w14:textId="77777777" w:rsidR="00BE2F43" w:rsidRDefault="00BE2F43" w:rsidP="008C5078"/>
    <w:p w14:paraId="563BE901" w14:textId="77777777" w:rsidR="00BE2F43" w:rsidRDefault="00BE2F43" w:rsidP="008C5078"/>
    <w:p w14:paraId="22DF98F2" w14:textId="77777777" w:rsidR="00BE2F43" w:rsidRDefault="00BE2F43" w:rsidP="008C5078"/>
    <w:p w14:paraId="1FDF83C6" w14:textId="77777777" w:rsidR="00BE2F43" w:rsidRDefault="00BE2F43" w:rsidP="008C5078"/>
    <w:p w14:paraId="0EE61662" w14:textId="77777777" w:rsidR="00BE2F43" w:rsidRDefault="00BE2F43" w:rsidP="008C5078"/>
    <w:p w14:paraId="7EF3556F" w14:textId="77777777" w:rsidR="00BE2F43" w:rsidRDefault="00BE2F43" w:rsidP="008C5078"/>
    <w:p w14:paraId="1A01954F" w14:textId="77777777" w:rsidR="00BE2F43" w:rsidRDefault="00BE2F43" w:rsidP="008C5078"/>
    <w:p w14:paraId="5984C5D6" w14:textId="77777777" w:rsidR="00BE2F43" w:rsidRDefault="00BE2F43" w:rsidP="008C5078"/>
    <w:p w14:paraId="1418D782" w14:textId="77777777" w:rsidR="00675E1E" w:rsidRDefault="00675E1E" w:rsidP="008C5078"/>
    <w:p w14:paraId="1D38B65F" w14:textId="53CC916C" w:rsidR="00BE2F43" w:rsidRPr="00675E1E" w:rsidRDefault="00BE2F43" w:rsidP="00BE2F43">
      <w:pPr>
        <w:rPr>
          <w:b/>
          <w:bCs/>
        </w:rPr>
      </w:pPr>
      <w:r>
        <w:rPr>
          <w:b/>
          <w:bCs/>
        </w:rPr>
        <w:t>4.</w:t>
      </w:r>
      <w:r w:rsidRPr="00675E1E">
        <w:rPr>
          <w:b/>
          <w:bCs/>
        </w:rPr>
        <w:t xml:space="preserve">Komerční pozemek </w:t>
      </w:r>
      <w:r>
        <w:rPr>
          <w:b/>
          <w:bCs/>
        </w:rPr>
        <w:t>Přerov</w:t>
      </w:r>
      <w:r w:rsidR="00024C54">
        <w:rPr>
          <w:b/>
          <w:bCs/>
        </w:rPr>
        <w:t>,</w:t>
      </w:r>
      <w:r>
        <w:rPr>
          <w:b/>
          <w:bCs/>
        </w:rPr>
        <w:t xml:space="preserve"> Tovačovská</w:t>
      </w:r>
    </w:p>
    <w:p w14:paraId="23B91D93" w14:textId="0EAEA00B" w:rsidR="00BE2F43" w:rsidRPr="00675E1E" w:rsidRDefault="00BE2F43" w:rsidP="00BE2F43">
      <w:r w:rsidRPr="00675E1E">
        <w:t xml:space="preserve">Cena </w:t>
      </w:r>
      <w:r>
        <w:t>6 200 000</w:t>
      </w:r>
      <w:r w:rsidRPr="00675E1E">
        <w:t>,- Kč</w:t>
      </w:r>
    </w:p>
    <w:p w14:paraId="0FB059AF" w14:textId="6B161EE9" w:rsidR="00BE2F43" w:rsidRPr="00675E1E" w:rsidRDefault="00BE2F43" w:rsidP="00BE2F43">
      <w:r w:rsidRPr="00675E1E">
        <w:t xml:space="preserve">Plocha </w:t>
      </w:r>
      <w:r>
        <w:t>2 429</w:t>
      </w:r>
      <w:r w:rsidRPr="00675E1E">
        <w:t xml:space="preserve"> m2</w:t>
      </w:r>
    </w:p>
    <w:p w14:paraId="7B6D5AC6" w14:textId="26057ACB" w:rsidR="00BE2F43" w:rsidRDefault="00BE2F43" w:rsidP="00BE2F43">
      <w:r w:rsidRPr="00675E1E">
        <w:t xml:space="preserve">Jednotková cena </w:t>
      </w:r>
      <w:r>
        <w:t>2 552</w:t>
      </w:r>
      <w:r w:rsidRPr="00675E1E">
        <w:t>,- Kč za m2</w:t>
      </w:r>
    </w:p>
    <w:p w14:paraId="4EB7E6D9" w14:textId="77777777" w:rsidR="00BE2F43" w:rsidRDefault="00BE2F43" w:rsidP="00BE2F43"/>
    <w:p w14:paraId="658A9FDA" w14:textId="1BECBFAB" w:rsidR="00BE2F43" w:rsidRDefault="00BE2F43" w:rsidP="00BE2F43">
      <w:r>
        <w:rPr>
          <w:noProof/>
        </w:rPr>
        <w:drawing>
          <wp:inline distT="0" distB="0" distL="0" distR="0" wp14:anchorId="137713FD" wp14:editId="788A2E42">
            <wp:extent cx="3188970" cy="2689463"/>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8773" cy="2697731"/>
                    </a:xfrm>
                    <a:prstGeom prst="rect">
                      <a:avLst/>
                    </a:prstGeom>
                    <a:noFill/>
                    <a:ln>
                      <a:noFill/>
                    </a:ln>
                  </pic:spPr>
                </pic:pic>
              </a:graphicData>
            </a:graphic>
          </wp:inline>
        </w:drawing>
      </w:r>
    </w:p>
    <w:p w14:paraId="6F44792D" w14:textId="77777777" w:rsidR="00BE2F43" w:rsidRDefault="00BE2F43" w:rsidP="00BE2F43"/>
    <w:p w14:paraId="43E57031" w14:textId="77777777" w:rsidR="00675E1E" w:rsidRDefault="00675E1E" w:rsidP="008C5078"/>
    <w:p w14:paraId="4494E066" w14:textId="77777777" w:rsidR="00BE2F43" w:rsidRPr="003A33C8" w:rsidRDefault="00BE2F43" w:rsidP="00BE2F43">
      <w:r w:rsidRPr="003A33C8">
        <w:t xml:space="preserve">Reality TREND s.r.o. nabízí k prodeji </w:t>
      </w:r>
      <w:proofErr w:type="spellStart"/>
      <w:r w:rsidRPr="003A33C8">
        <w:t>stavební-</w:t>
      </w:r>
      <w:proofErr w:type="gramStart"/>
      <w:r w:rsidRPr="003A33C8">
        <w:t>komerční</w:t>
      </w:r>
      <w:proofErr w:type="spellEnd"/>
      <w:r w:rsidRPr="003A33C8">
        <w:t xml:space="preserve">  pozemek</w:t>
      </w:r>
      <w:proofErr w:type="gramEnd"/>
      <w:r w:rsidRPr="003A33C8">
        <w:t xml:space="preserve"> 2429 m² v ul. Tovačovská, Přerov, v blízkosti sjezdu z dálnice. Pozemek lichoběžníkového tvaru má délku cca 87 m a šířku od 52 m do 15 m.  Dle platného územního plánu města Přerova je pozemek vymezen jako návrhová plocha </w:t>
      </w:r>
      <w:proofErr w:type="gramStart"/>
      <w:r w:rsidRPr="003A33C8">
        <w:t>VS- smíšená</w:t>
      </w:r>
      <w:proofErr w:type="gramEnd"/>
      <w:r w:rsidRPr="003A33C8">
        <w:t xml:space="preserve"> plocha občanského vybavení a výroby – viz. příloha UP, při zachování </w:t>
      </w:r>
      <w:proofErr w:type="gramStart"/>
      <w:r w:rsidRPr="003A33C8">
        <w:t>minimálně  20</w:t>
      </w:r>
      <w:proofErr w:type="gramEnd"/>
      <w:r w:rsidRPr="003A33C8">
        <w:t>% plochy zeleně. Inženýrské sítě – elektřina, vodovod, kanalizace – viz přílohy IS. Na pozemku nyní náletové dřeviny.</w:t>
      </w:r>
    </w:p>
    <w:p w14:paraId="1E7179D4" w14:textId="77777777" w:rsidR="00BE2F43" w:rsidRPr="003A33C8" w:rsidRDefault="00BE2F43" w:rsidP="00BE2F43">
      <w:r w:rsidRPr="003A33C8">
        <w:t xml:space="preserve">V ceně jsou zahrnuty poplatky za právní servis a provize RK. </w:t>
      </w:r>
    </w:p>
    <w:p w14:paraId="025B8C84" w14:textId="77777777" w:rsidR="00BE2F43" w:rsidRPr="003A33C8" w:rsidRDefault="00BE2F43" w:rsidP="00BE2F43">
      <w:r w:rsidRPr="003A33C8">
        <w:t>Bližší informace v kanceláři Reality TREND s.r.o.</w:t>
      </w:r>
    </w:p>
    <w:p w14:paraId="0D2A56E8" w14:textId="77777777" w:rsidR="00BE2F43" w:rsidRPr="003A33C8" w:rsidRDefault="00000000" w:rsidP="00BE2F43">
      <w:r>
        <w:pict w14:anchorId="66AEF068">
          <v:rect id="_x0000_i1038" style="width:0;height:1.5pt" o:hralign="center" o:hrstd="t" o:hr="t" fillcolor="#a0a0a0" stroked="f"/>
        </w:pict>
      </w:r>
    </w:p>
    <w:p w14:paraId="2C54C98B" w14:textId="77777777" w:rsidR="00BE2F43" w:rsidRPr="003A33C8" w:rsidRDefault="00BE2F43" w:rsidP="00BE2F43">
      <w:r w:rsidRPr="003A33C8">
        <w:t>Celková cena:</w:t>
      </w:r>
    </w:p>
    <w:p w14:paraId="4BC49A00" w14:textId="77777777" w:rsidR="00BE2F43" w:rsidRPr="003A33C8" w:rsidRDefault="00BE2F43" w:rsidP="00BE2F43">
      <w:r w:rsidRPr="003A33C8">
        <w:t>6</w:t>
      </w:r>
      <w:r w:rsidRPr="003A33C8">
        <w:rPr>
          <w:rFonts w:ascii="Arial" w:hAnsi="Arial" w:cs="Arial"/>
        </w:rPr>
        <w:t>​</w:t>
      </w:r>
      <w:r w:rsidRPr="003A33C8">
        <w:rPr>
          <w:rFonts w:ascii="Aptos" w:hAnsi="Aptos" w:cs="Aptos"/>
        </w:rPr>
        <w:t> </w:t>
      </w:r>
      <w:r w:rsidRPr="003A33C8">
        <w:rPr>
          <w:rFonts w:ascii="Arial" w:hAnsi="Arial" w:cs="Arial"/>
        </w:rPr>
        <w:t>​</w:t>
      </w:r>
      <w:r w:rsidRPr="003A33C8">
        <w:t>2</w:t>
      </w:r>
      <w:r w:rsidRPr="003A33C8">
        <w:rPr>
          <w:rFonts w:ascii="Arial" w:hAnsi="Arial" w:cs="Arial"/>
        </w:rPr>
        <w:t>​</w:t>
      </w:r>
      <w:r w:rsidRPr="003A33C8">
        <w:t>0</w:t>
      </w:r>
      <w:r w:rsidRPr="003A33C8">
        <w:rPr>
          <w:rFonts w:ascii="Arial" w:hAnsi="Arial" w:cs="Arial"/>
        </w:rPr>
        <w:t>​</w:t>
      </w:r>
      <w:r w:rsidRPr="003A33C8">
        <w:t>0</w:t>
      </w:r>
      <w:r w:rsidRPr="003A33C8">
        <w:rPr>
          <w:rFonts w:ascii="Arial" w:hAnsi="Arial" w:cs="Arial"/>
        </w:rPr>
        <w:t>​</w:t>
      </w:r>
      <w:r w:rsidRPr="003A33C8">
        <w:rPr>
          <w:rFonts w:ascii="Aptos" w:hAnsi="Aptos" w:cs="Aptos"/>
        </w:rPr>
        <w:t> </w:t>
      </w:r>
      <w:r w:rsidRPr="003A33C8">
        <w:rPr>
          <w:rFonts w:ascii="Arial" w:hAnsi="Arial" w:cs="Arial"/>
        </w:rPr>
        <w:t>​</w:t>
      </w:r>
      <w:r w:rsidRPr="003A33C8">
        <w:t>0</w:t>
      </w:r>
      <w:r w:rsidRPr="003A33C8">
        <w:rPr>
          <w:rFonts w:ascii="Arial" w:hAnsi="Arial" w:cs="Arial"/>
        </w:rPr>
        <w:t>​</w:t>
      </w:r>
      <w:r w:rsidRPr="003A33C8">
        <w:t>0</w:t>
      </w:r>
      <w:r w:rsidRPr="003A33C8">
        <w:rPr>
          <w:rFonts w:ascii="Arial" w:hAnsi="Arial" w:cs="Arial"/>
        </w:rPr>
        <w:t>​</w:t>
      </w:r>
      <w:r w:rsidRPr="003A33C8">
        <w:t>0</w:t>
      </w:r>
      <w:r w:rsidRPr="003A33C8">
        <w:rPr>
          <w:rFonts w:ascii="Arial" w:hAnsi="Arial" w:cs="Arial"/>
        </w:rPr>
        <w:t>​</w:t>
      </w:r>
      <w:r w:rsidRPr="003A33C8">
        <w:rPr>
          <w:rFonts w:ascii="Aptos" w:hAnsi="Aptos" w:cs="Aptos"/>
        </w:rPr>
        <w:t> </w:t>
      </w:r>
      <w:r w:rsidRPr="003A33C8">
        <w:rPr>
          <w:rFonts w:ascii="Arial" w:hAnsi="Arial" w:cs="Arial"/>
        </w:rPr>
        <w:t>​</w:t>
      </w:r>
      <w:r w:rsidRPr="003A33C8">
        <w:t>K</w:t>
      </w:r>
      <w:r w:rsidRPr="003A33C8">
        <w:rPr>
          <w:rFonts w:ascii="Arial" w:hAnsi="Arial" w:cs="Arial"/>
        </w:rPr>
        <w:t>​</w:t>
      </w:r>
      <w:r w:rsidRPr="003A33C8">
        <w:rPr>
          <w:rFonts w:ascii="Aptos" w:hAnsi="Aptos" w:cs="Aptos"/>
        </w:rPr>
        <w:t>č</w:t>
      </w:r>
      <w:r w:rsidRPr="003A33C8">
        <w:rPr>
          <w:rFonts w:ascii="Arial" w:hAnsi="Arial" w:cs="Arial"/>
        </w:rPr>
        <w:t>​</w:t>
      </w:r>
      <w:r w:rsidRPr="003A33C8">
        <w:t xml:space="preserve"> </w:t>
      </w:r>
      <w:r w:rsidRPr="003A33C8">
        <w:rPr>
          <w:rFonts w:ascii="Arial" w:hAnsi="Arial" w:cs="Arial"/>
        </w:rPr>
        <w:t>​</w:t>
      </w:r>
      <w:r w:rsidRPr="003A33C8">
        <w:t>(</w:t>
      </w:r>
      <w:r w:rsidRPr="003A33C8">
        <w:rPr>
          <w:rFonts w:ascii="Arial" w:hAnsi="Arial" w:cs="Arial"/>
        </w:rPr>
        <w:t>​</w:t>
      </w:r>
      <w:r w:rsidRPr="003A33C8">
        <w:t>2</w:t>
      </w:r>
      <w:r w:rsidRPr="003A33C8">
        <w:rPr>
          <w:rFonts w:ascii="Arial" w:hAnsi="Arial" w:cs="Arial"/>
        </w:rPr>
        <w:t>​</w:t>
      </w:r>
      <w:r w:rsidRPr="003A33C8">
        <w:rPr>
          <w:rFonts w:ascii="Aptos" w:hAnsi="Aptos" w:cs="Aptos"/>
        </w:rPr>
        <w:t> </w:t>
      </w:r>
      <w:r w:rsidRPr="003A33C8">
        <w:rPr>
          <w:rFonts w:ascii="Arial" w:hAnsi="Arial" w:cs="Arial"/>
        </w:rPr>
        <w:t>​</w:t>
      </w:r>
      <w:r w:rsidRPr="003A33C8">
        <w:t>5</w:t>
      </w:r>
      <w:r w:rsidRPr="003A33C8">
        <w:rPr>
          <w:rFonts w:ascii="Arial" w:hAnsi="Arial" w:cs="Arial"/>
        </w:rPr>
        <w:t>​</w:t>
      </w:r>
      <w:r w:rsidRPr="003A33C8">
        <w:t>5</w:t>
      </w:r>
      <w:r w:rsidRPr="003A33C8">
        <w:rPr>
          <w:rFonts w:ascii="Arial" w:hAnsi="Arial" w:cs="Arial"/>
        </w:rPr>
        <w:t>​</w:t>
      </w:r>
      <w:r w:rsidRPr="003A33C8">
        <w:t>2</w:t>
      </w:r>
      <w:r w:rsidRPr="003A33C8">
        <w:rPr>
          <w:rFonts w:ascii="Arial" w:hAnsi="Arial" w:cs="Arial"/>
        </w:rPr>
        <w:t>​</w:t>
      </w:r>
      <w:r w:rsidRPr="003A33C8">
        <w:rPr>
          <w:rFonts w:ascii="Aptos" w:hAnsi="Aptos" w:cs="Aptos"/>
        </w:rPr>
        <w:t> </w:t>
      </w:r>
      <w:r w:rsidRPr="003A33C8">
        <w:rPr>
          <w:rFonts w:ascii="Arial" w:hAnsi="Arial" w:cs="Arial"/>
        </w:rPr>
        <w:t>​</w:t>
      </w:r>
      <w:r w:rsidRPr="003A33C8">
        <w:t>K</w:t>
      </w:r>
      <w:r w:rsidRPr="003A33C8">
        <w:rPr>
          <w:rFonts w:ascii="Arial" w:hAnsi="Arial" w:cs="Arial"/>
        </w:rPr>
        <w:t>​</w:t>
      </w:r>
      <w:r w:rsidRPr="003A33C8">
        <w:rPr>
          <w:rFonts w:ascii="Aptos" w:hAnsi="Aptos" w:cs="Aptos"/>
        </w:rPr>
        <w:t>č</w:t>
      </w:r>
      <w:r w:rsidRPr="003A33C8">
        <w:rPr>
          <w:rFonts w:ascii="Arial" w:hAnsi="Arial" w:cs="Arial"/>
        </w:rPr>
        <w:t>​</w:t>
      </w:r>
      <w:r w:rsidRPr="003A33C8">
        <w:t>/</w:t>
      </w:r>
      <w:r w:rsidRPr="003A33C8">
        <w:rPr>
          <w:rFonts w:ascii="Arial" w:hAnsi="Arial" w:cs="Arial"/>
        </w:rPr>
        <w:t>​</w:t>
      </w:r>
      <w:r w:rsidRPr="003A33C8">
        <w:t>m</w:t>
      </w:r>
      <w:r w:rsidRPr="003A33C8">
        <w:rPr>
          <w:rFonts w:ascii="Arial" w:hAnsi="Arial" w:cs="Arial"/>
        </w:rPr>
        <w:t>​</w:t>
      </w:r>
      <w:r w:rsidRPr="003A33C8">
        <w:rPr>
          <w:rFonts w:ascii="Aptos" w:hAnsi="Aptos" w:cs="Aptos"/>
        </w:rPr>
        <w:t>²</w:t>
      </w:r>
      <w:r w:rsidRPr="003A33C8">
        <w:rPr>
          <w:rFonts w:ascii="Arial" w:hAnsi="Arial" w:cs="Arial"/>
        </w:rPr>
        <w:t>​</w:t>
      </w:r>
      <w:r w:rsidRPr="003A33C8">
        <w:t>)</w:t>
      </w:r>
      <w:r w:rsidRPr="003A33C8">
        <w:rPr>
          <w:rFonts w:ascii="Arial" w:hAnsi="Arial" w:cs="Arial"/>
        </w:rPr>
        <w:t>​</w:t>
      </w:r>
    </w:p>
    <w:p w14:paraId="5054CBA7" w14:textId="77777777" w:rsidR="00BE2F43" w:rsidRPr="003A33C8" w:rsidRDefault="00000000" w:rsidP="00BE2F43">
      <w:r>
        <w:pict w14:anchorId="6049C29C">
          <v:rect id="_x0000_i1039" style="width:0;height:1.5pt" o:hralign="center" o:hrstd="t" o:hr="t" fillcolor="#a0a0a0" stroked="f"/>
        </w:pict>
      </w:r>
    </w:p>
    <w:p w14:paraId="60159923" w14:textId="77777777" w:rsidR="00BE2F43" w:rsidRPr="003A33C8" w:rsidRDefault="00BE2F43" w:rsidP="00BE2F43">
      <w:r w:rsidRPr="003A33C8">
        <w:t>Plocha:</w:t>
      </w:r>
    </w:p>
    <w:p w14:paraId="37A0BAE4" w14:textId="77777777" w:rsidR="00BE2F43" w:rsidRPr="003A33C8" w:rsidRDefault="00BE2F43" w:rsidP="00BE2F43">
      <w:r w:rsidRPr="003A33C8">
        <w:lastRenderedPageBreak/>
        <w:t>Plocha pozemku 2 429 m²</w:t>
      </w:r>
    </w:p>
    <w:p w14:paraId="2C2E9B3D" w14:textId="77777777" w:rsidR="00BE2F43" w:rsidRPr="003A33C8" w:rsidRDefault="00000000" w:rsidP="00BE2F43">
      <w:r>
        <w:pict w14:anchorId="08BBCC0B">
          <v:rect id="_x0000_i1040" style="width:0;height:1.5pt" o:hralign="center" o:hrstd="t" o:hr="t" fillcolor="#a0a0a0" stroked="f"/>
        </w:pict>
      </w:r>
    </w:p>
    <w:p w14:paraId="130647E8" w14:textId="77777777" w:rsidR="00BE2F43" w:rsidRPr="003A33C8" w:rsidRDefault="00BE2F43" w:rsidP="00BE2F43">
      <w:r w:rsidRPr="003A33C8">
        <w:t>Lokalita:</w:t>
      </w:r>
    </w:p>
    <w:p w14:paraId="73015377" w14:textId="77777777" w:rsidR="00BE2F43" w:rsidRDefault="00BE2F43" w:rsidP="00BE2F43">
      <w:r w:rsidRPr="003A33C8">
        <w:t>Okraj obce</w:t>
      </w:r>
    </w:p>
    <w:p w14:paraId="7450E698" w14:textId="77777777" w:rsidR="00BE2F43" w:rsidRDefault="00BE2F43" w:rsidP="00BE2F43"/>
    <w:p w14:paraId="6D270B7F" w14:textId="77777777" w:rsidR="00BE2F43" w:rsidRDefault="00BE2F43" w:rsidP="00BE2F43"/>
    <w:p w14:paraId="6E103BD6" w14:textId="6ACF4DE6" w:rsidR="00BE2F43" w:rsidRPr="003272D9" w:rsidRDefault="00BE2F43" w:rsidP="00BE2F43">
      <w:pPr>
        <w:rPr>
          <w:b/>
          <w:bCs/>
          <w:sz w:val="28"/>
          <w:szCs w:val="28"/>
        </w:rPr>
      </w:pPr>
      <w:r w:rsidRPr="003272D9">
        <w:rPr>
          <w:b/>
          <w:bCs/>
          <w:sz w:val="28"/>
          <w:szCs w:val="28"/>
        </w:rPr>
        <w:t>Výsledná tabulka – srovnávací metoda</w:t>
      </w:r>
    </w:p>
    <w:p w14:paraId="4EB93D41" w14:textId="77777777" w:rsidR="00BE2F43" w:rsidRDefault="00BE2F43" w:rsidP="008C5078"/>
    <w:p w14:paraId="7E540EA2" w14:textId="77777777" w:rsidR="003272D9" w:rsidRPr="003272D9" w:rsidRDefault="003272D9" w:rsidP="003272D9">
      <w:pPr>
        <w:rPr>
          <w:b/>
          <w:bCs/>
        </w:rPr>
      </w:pPr>
      <w:r w:rsidRPr="003272D9">
        <w:rPr>
          <w:b/>
          <w:bCs/>
        </w:rPr>
        <w:t>Výpočet hodnoty pozemků</w:t>
      </w:r>
    </w:p>
    <w:p w14:paraId="79C25782" w14:textId="77777777" w:rsidR="003272D9" w:rsidRPr="003272D9" w:rsidRDefault="003272D9" w:rsidP="003272D9">
      <w:pPr>
        <w:rPr>
          <w:b/>
          <w:bCs/>
        </w:rPr>
      </w:pPr>
      <w:r w:rsidRPr="003272D9">
        <w:rPr>
          <w:b/>
          <w:bCs/>
        </w:rPr>
        <w:t>Základní popis oceňovaných pozemků</w:t>
      </w:r>
    </w:p>
    <w:p w14:paraId="2FA3FD67" w14:textId="1EFBAC68" w:rsidR="003272D9" w:rsidRPr="003272D9" w:rsidRDefault="003272D9" w:rsidP="003272D9">
      <w:proofErr w:type="gramStart"/>
      <w:r w:rsidRPr="003272D9">
        <w:t>.Jedná</w:t>
      </w:r>
      <w:proofErr w:type="gramEnd"/>
      <w:r w:rsidRPr="003272D9">
        <w:t xml:space="preserve"> se</w:t>
      </w:r>
      <w:r>
        <w:t xml:space="preserve"> </w:t>
      </w:r>
      <w:r w:rsidRPr="003272D9">
        <w:t xml:space="preserve">o plochu A v areálu bývalých skláren Karolinka. </w:t>
      </w:r>
    </w:p>
    <w:p w14:paraId="413D36E7" w14:textId="77777777" w:rsidR="003272D9" w:rsidRPr="003272D9" w:rsidRDefault="003272D9" w:rsidP="003272D9"/>
    <w:p w14:paraId="647017A1" w14:textId="77777777" w:rsidR="003272D9" w:rsidRPr="003272D9" w:rsidRDefault="003272D9" w:rsidP="003272D9">
      <w:pPr>
        <w:rPr>
          <w:b/>
          <w:bCs/>
        </w:rPr>
      </w:pPr>
      <w:r w:rsidRPr="003272D9">
        <w:rPr>
          <w:b/>
          <w:bCs/>
        </w:rPr>
        <w:t>Stanovení a zdůvodnění jednotkové ceny pozemků</w:t>
      </w:r>
    </w:p>
    <w:p w14:paraId="3B4761EA" w14:textId="45D925DC" w:rsidR="003272D9" w:rsidRDefault="003272D9" w:rsidP="003272D9">
      <w:r w:rsidRPr="003272D9">
        <w:t>Do srovnání byly vzaty čtyři srovnatelné pozemky. Rozdíly byly vyrovnány koeficienty</w:t>
      </w:r>
      <w:r w:rsidR="00024C54">
        <w:t>.</w:t>
      </w:r>
    </w:p>
    <w:p w14:paraId="091A363C" w14:textId="77777777" w:rsidR="00024C54" w:rsidRDefault="00024C54" w:rsidP="003272D9"/>
    <w:p w14:paraId="71FEF5A1" w14:textId="77777777" w:rsidR="00024C54" w:rsidRDefault="00024C54" w:rsidP="003272D9"/>
    <w:p w14:paraId="7CE7297F" w14:textId="77777777" w:rsidR="00024C54" w:rsidRDefault="00024C54" w:rsidP="003272D9"/>
    <w:p w14:paraId="07DF1DDF" w14:textId="77777777" w:rsidR="00024C54" w:rsidRDefault="00024C54" w:rsidP="003272D9"/>
    <w:p w14:paraId="5E07CB47" w14:textId="77777777" w:rsidR="00024C54" w:rsidRDefault="00024C54" w:rsidP="003272D9"/>
    <w:p w14:paraId="7B412D1D" w14:textId="77777777" w:rsidR="00024C54" w:rsidRDefault="00024C54" w:rsidP="003272D9"/>
    <w:p w14:paraId="78508F68" w14:textId="77777777" w:rsidR="00024C54" w:rsidRDefault="00024C54" w:rsidP="003272D9"/>
    <w:p w14:paraId="550D174A" w14:textId="77777777" w:rsidR="00024C54" w:rsidRDefault="00024C54" w:rsidP="003272D9"/>
    <w:p w14:paraId="1C7A55D6" w14:textId="77777777" w:rsidR="00024C54" w:rsidRDefault="00024C54" w:rsidP="003272D9"/>
    <w:p w14:paraId="3958AD83" w14:textId="77777777" w:rsidR="00024C54" w:rsidRDefault="00024C54" w:rsidP="003272D9"/>
    <w:p w14:paraId="5B39BDF9" w14:textId="77777777" w:rsidR="00024C54" w:rsidRDefault="00024C54" w:rsidP="003272D9"/>
    <w:p w14:paraId="36377092" w14:textId="77777777" w:rsidR="00024C54" w:rsidRDefault="00024C54" w:rsidP="003272D9"/>
    <w:p w14:paraId="2BC7A09F" w14:textId="77777777" w:rsidR="00024C54" w:rsidRDefault="00024C54" w:rsidP="003272D9"/>
    <w:p w14:paraId="07BCB8BF" w14:textId="77777777" w:rsidR="00024C54" w:rsidRPr="003272D9" w:rsidRDefault="00024C54" w:rsidP="003272D9"/>
    <w:p w14:paraId="2D227896" w14:textId="77777777" w:rsidR="00024C54" w:rsidRPr="00024C54" w:rsidRDefault="00024C54" w:rsidP="00024C54">
      <w:pPr>
        <w:rPr>
          <w:b/>
          <w:bCs/>
        </w:rPr>
      </w:pPr>
      <w:r w:rsidRPr="00024C54">
        <w:rPr>
          <w:b/>
          <w:bCs/>
        </w:rPr>
        <w:lastRenderedPageBreak/>
        <w:t>Výpočet hodnoty pozemků</w:t>
      </w:r>
    </w:p>
    <w:p w14:paraId="10417FE5" w14:textId="77777777" w:rsidR="00024C54" w:rsidRDefault="00024C54" w:rsidP="00024C54"/>
    <w:p w14:paraId="6888EE1E" w14:textId="77777777" w:rsidR="00024C54" w:rsidRPr="00024C54" w:rsidRDefault="00024C54" w:rsidP="00024C54"/>
    <w:p w14:paraId="6823E5AA" w14:textId="77777777" w:rsidR="00024C54" w:rsidRPr="00024C54" w:rsidRDefault="00024C54" w:rsidP="00024C54">
      <w:pPr>
        <w:rPr>
          <w:b/>
          <w:bCs/>
        </w:rPr>
      </w:pPr>
      <w:r w:rsidRPr="00024C54">
        <w:rPr>
          <w:b/>
          <w:bCs/>
        </w:rPr>
        <w:t>Stanovení a zdůvodnění jednotkové ceny pozemků</w:t>
      </w:r>
    </w:p>
    <w:p w14:paraId="442E92C2" w14:textId="77777777" w:rsidR="00024C54" w:rsidRPr="00024C54" w:rsidRDefault="00024C54" w:rsidP="00024C54">
      <w:r w:rsidRPr="00024C54">
        <w:t>Do srovnání byly vzaty čtyři srovnatelné pozemky. Rozdíly byly vyrovnány koeficienty</w:t>
      </w:r>
    </w:p>
    <w:p w14:paraId="49C0FAD0" w14:textId="77777777" w:rsidR="00024C54" w:rsidRPr="00024C54" w:rsidRDefault="00024C54" w:rsidP="00024C54"/>
    <w:tbl>
      <w:tblPr>
        <w:tblW w:w="0" w:type="auto"/>
        <w:tblInd w:w="-10" w:type="dxa"/>
        <w:tblLayout w:type="fixed"/>
        <w:tblCellMar>
          <w:left w:w="0" w:type="dxa"/>
          <w:right w:w="0" w:type="dxa"/>
        </w:tblCellMar>
        <w:tblLook w:val="0000" w:firstRow="0" w:lastRow="0" w:firstColumn="0" w:lastColumn="0" w:noHBand="0" w:noVBand="0"/>
      </w:tblPr>
      <w:tblGrid>
        <w:gridCol w:w="3930"/>
        <w:gridCol w:w="870"/>
        <w:gridCol w:w="831"/>
        <w:gridCol w:w="1096"/>
        <w:gridCol w:w="227"/>
        <w:gridCol w:w="794"/>
        <w:gridCol w:w="945"/>
        <w:gridCol w:w="945"/>
      </w:tblGrid>
      <w:tr w:rsidR="00024C54" w:rsidRPr="00024C54" w14:paraId="4728E13C" w14:textId="77777777">
        <w:tc>
          <w:tcPr>
            <w:tcW w:w="3930" w:type="dxa"/>
            <w:tcBorders>
              <w:top w:val="single" w:sz="6" w:space="0" w:color="auto"/>
              <w:left w:val="single" w:sz="8" w:space="0" w:color="auto"/>
              <w:bottom w:val="nil"/>
              <w:right w:val="nil"/>
            </w:tcBorders>
            <w:shd w:val="pct50" w:color="C0C0C0" w:fill="FFFFFF"/>
          </w:tcPr>
          <w:p w14:paraId="0B62CB57" w14:textId="77777777" w:rsidR="00024C54" w:rsidRPr="00024C54" w:rsidRDefault="00024C54" w:rsidP="00024C54">
            <w:pPr>
              <w:rPr>
                <w:b/>
                <w:bCs/>
              </w:rPr>
            </w:pPr>
            <w:r w:rsidRPr="00024C54">
              <w:rPr>
                <w:b/>
                <w:bCs/>
              </w:rPr>
              <w:t xml:space="preserve">Přehled srovnatelných </w:t>
            </w:r>
            <w:proofErr w:type="gramStart"/>
            <w:r w:rsidRPr="00024C54">
              <w:rPr>
                <w:b/>
                <w:bCs/>
              </w:rPr>
              <w:t>pozemků - Lokalita</w:t>
            </w:r>
            <w:proofErr w:type="gramEnd"/>
            <w:r w:rsidRPr="00024C54">
              <w:rPr>
                <w:b/>
                <w:bCs/>
              </w:rPr>
              <w:t xml:space="preserve"> </w:t>
            </w:r>
          </w:p>
        </w:tc>
        <w:tc>
          <w:tcPr>
            <w:tcW w:w="870" w:type="dxa"/>
            <w:tcBorders>
              <w:top w:val="single" w:sz="8" w:space="0" w:color="auto"/>
              <w:left w:val="nil"/>
              <w:bottom w:val="nil"/>
              <w:right w:val="nil"/>
            </w:tcBorders>
            <w:shd w:val="pct50" w:color="C0C0C0" w:fill="FFFFFF"/>
          </w:tcPr>
          <w:p w14:paraId="681F90E9" w14:textId="77777777" w:rsidR="00024C54" w:rsidRPr="00024C54" w:rsidRDefault="00024C54" w:rsidP="00024C54">
            <w:pPr>
              <w:rPr>
                <w:b/>
                <w:bCs/>
              </w:rPr>
            </w:pPr>
            <w:r w:rsidRPr="00024C54">
              <w:rPr>
                <w:b/>
                <w:bCs/>
              </w:rPr>
              <w:t>Parcela č.</w:t>
            </w:r>
          </w:p>
        </w:tc>
        <w:tc>
          <w:tcPr>
            <w:tcW w:w="831" w:type="dxa"/>
            <w:tcBorders>
              <w:top w:val="single" w:sz="8" w:space="0" w:color="auto"/>
              <w:left w:val="nil"/>
              <w:bottom w:val="nil"/>
              <w:right w:val="nil"/>
            </w:tcBorders>
            <w:shd w:val="pct50" w:color="C0C0C0" w:fill="FFFFFF"/>
          </w:tcPr>
          <w:p w14:paraId="1E071F5A" w14:textId="77777777" w:rsidR="00024C54" w:rsidRPr="00024C54" w:rsidRDefault="00024C54" w:rsidP="00024C54">
            <w:pPr>
              <w:rPr>
                <w:b/>
                <w:bCs/>
              </w:rPr>
            </w:pPr>
            <w:r w:rsidRPr="00024C54">
              <w:rPr>
                <w:b/>
                <w:bCs/>
              </w:rPr>
              <w:t>Výměra</w:t>
            </w:r>
          </w:p>
        </w:tc>
        <w:tc>
          <w:tcPr>
            <w:tcW w:w="1096" w:type="dxa"/>
            <w:tcBorders>
              <w:top w:val="single" w:sz="8" w:space="0" w:color="auto"/>
              <w:left w:val="nil"/>
              <w:bottom w:val="nil"/>
              <w:right w:val="nil"/>
            </w:tcBorders>
            <w:shd w:val="pct50" w:color="C0C0C0" w:fill="FFFFFF"/>
          </w:tcPr>
          <w:p w14:paraId="124A77F8" w14:textId="77777777" w:rsidR="00024C54" w:rsidRPr="00024C54" w:rsidRDefault="00024C54" w:rsidP="00024C54">
            <w:pPr>
              <w:rPr>
                <w:b/>
                <w:bCs/>
              </w:rPr>
            </w:pPr>
            <w:r w:rsidRPr="00024C54">
              <w:rPr>
                <w:b/>
                <w:bCs/>
              </w:rPr>
              <w:t xml:space="preserve">Požadovaná /kupní cena </w:t>
            </w:r>
          </w:p>
        </w:tc>
        <w:tc>
          <w:tcPr>
            <w:tcW w:w="1021" w:type="dxa"/>
            <w:gridSpan w:val="2"/>
            <w:tcBorders>
              <w:top w:val="single" w:sz="8" w:space="0" w:color="auto"/>
              <w:left w:val="nil"/>
              <w:bottom w:val="nil"/>
              <w:right w:val="nil"/>
            </w:tcBorders>
            <w:shd w:val="pct50" w:color="C0C0C0" w:fill="FFFFFF"/>
          </w:tcPr>
          <w:p w14:paraId="4DE92861" w14:textId="77777777" w:rsidR="00024C54" w:rsidRPr="00024C54" w:rsidRDefault="00024C54" w:rsidP="00024C54">
            <w:pPr>
              <w:rPr>
                <w:b/>
                <w:bCs/>
              </w:rPr>
            </w:pPr>
            <w:r w:rsidRPr="00024C54">
              <w:rPr>
                <w:b/>
                <w:bCs/>
              </w:rPr>
              <w:t>Jednotková cena</w:t>
            </w:r>
          </w:p>
        </w:tc>
        <w:tc>
          <w:tcPr>
            <w:tcW w:w="945" w:type="dxa"/>
            <w:tcBorders>
              <w:top w:val="single" w:sz="8" w:space="0" w:color="auto"/>
              <w:left w:val="nil"/>
              <w:bottom w:val="nil"/>
              <w:right w:val="nil"/>
            </w:tcBorders>
            <w:shd w:val="pct50" w:color="C0C0C0" w:fill="FFFFFF"/>
          </w:tcPr>
          <w:p w14:paraId="04BEEF6D" w14:textId="77777777" w:rsidR="00024C54" w:rsidRPr="00024C54" w:rsidRDefault="00024C54" w:rsidP="00024C54">
            <w:pPr>
              <w:rPr>
                <w:b/>
                <w:bCs/>
              </w:rPr>
            </w:pPr>
            <w:r w:rsidRPr="00024C54">
              <w:rPr>
                <w:b/>
                <w:bCs/>
              </w:rPr>
              <w:t>Koeficient celkový</w:t>
            </w:r>
          </w:p>
        </w:tc>
        <w:tc>
          <w:tcPr>
            <w:tcW w:w="945" w:type="dxa"/>
            <w:tcBorders>
              <w:top w:val="single" w:sz="6" w:space="0" w:color="auto"/>
              <w:left w:val="nil"/>
              <w:bottom w:val="nil"/>
              <w:right w:val="single" w:sz="8" w:space="0" w:color="auto"/>
            </w:tcBorders>
            <w:shd w:val="pct50" w:color="C0C0C0" w:fill="FFFFFF"/>
          </w:tcPr>
          <w:p w14:paraId="2BF3E870" w14:textId="77777777" w:rsidR="00024C54" w:rsidRPr="00024C54" w:rsidRDefault="00024C54" w:rsidP="00024C54">
            <w:pPr>
              <w:rPr>
                <w:b/>
                <w:bCs/>
              </w:rPr>
            </w:pPr>
            <w:r w:rsidRPr="00024C54">
              <w:rPr>
                <w:b/>
                <w:bCs/>
              </w:rPr>
              <w:t>Upravená cena</w:t>
            </w:r>
          </w:p>
        </w:tc>
      </w:tr>
      <w:tr w:rsidR="00024C54" w:rsidRPr="00024C54" w14:paraId="4997DC65" w14:textId="77777777">
        <w:tc>
          <w:tcPr>
            <w:tcW w:w="3930" w:type="dxa"/>
            <w:tcBorders>
              <w:top w:val="nil"/>
              <w:left w:val="single" w:sz="8" w:space="0" w:color="auto"/>
              <w:bottom w:val="single" w:sz="6" w:space="0" w:color="auto"/>
              <w:right w:val="nil"/>
            </w:tcBorders>
            <w:shd w:val="pct50" w:color="C0C0C0" w:fill="FFFFFF"/>
            <w:vAlign w:val="center"/>
          </w:tcPr>
          <w:p w14:paraId="06559EC1" w14:textId="77777777" w:rsidR="00024C54" w:rsidRPr="00024C54" w:rsidRDefault="00024C54" w:rsidP="00024C54">
            <w:pPr>
              <w:rPr>
                <w:b/>
                <w:bCs/>
              </w:rPr>
            </w:pPr>
            <w:r w:rsidRPr="00024C54">
              <w:rPr>
                <w:b/>
                <w:bCs/>
              </w:rPr>
              <w:t>Popis pozemku (zhodnocení kladů a záporů)</w:t>
            </w:r>
          </w:p>
        </w:tc>
        <w:tc>
          <w:tcPr>
            <w:tcW w:w="870" w:type="dxa"/>
            <w:tcBorders>
              <w:top w:val="nil"/>
              <w:left w:val="nil"/>
              <w:bottom w:val="single" w:sz="8" w:space="0" w:color="auto"/>
              <w:right w:val="nil"/>
            </w:tcBorders>
            <w:shd w:val="pct50" w:color="C0C0C0" w:fill="FFFFFF"/>
          </w:tcPr>
          <w:p w14:paraId="1DB8116E" w14:textId="77777777" w:rsidR="00024C54" w:rsidRPr="00024C54" w:rsidRDefault="00024C54" w:rsidP="00024C54">
            <w:pPr>
              <w:rPr>
                <w:b/>
                <w:bCs/>
              </w:rPr>
            </w:pPr>
          </w:p>
        </w:tc>
        <w:tc>
          <w:tcPr>
            <w:tcW w:w="831" w:type="dxa"/>
            <w:tcBorders>
              <w:top w:val="nil"/>
              <w:left w:val="nil"/>
              <w:bottom w:val="single" w:sz="8" w:space="0" w:color="auto"/>
              <w:right w:val="nil"/>
            </w:tcBorders>
            <w:shd w:val="pct50" w:color="C0C0C0" w:fill="FFFFFF"/>
          </w:tcPr>
          <w:p w14:paraId="39816F18" w14:textId="77777777" w:rsidR="00024C54" w:rsidRPr="00024C54" w:rsidRDefault="00024C54" w:rsidP="00024C54">
            <w:pPr>
              <w:rPr>
                <w:b/>
                <w:bCs/>
                <w:vertAlign w:val="superscript"/>
              </w:rPr>
            </w:pPr>
            <w:r w:rsidRPr="00024C54">
              <w:rPr>
                <w:b/>
                <w:bCs/>
              </w:rPr>
              <w:t>m</w:t>
            </w:r>
            <w:r w:rsidRPr="00024C54">
              <w:rPr>
                <w:b/>
                <w:bCs/>
                <w:vertAlign w:val="superscript"/>
              </w:rPr>
              <w:t>2</w:t>
            </w:r>
          </w:p>
        </w:tc>
        <w:tc>
          <w:tcPr>
            <w:tcW w:w="1096" w:type="dxa"/>
            <w:tcBorders>
              <w:top w:val="nil"/>
              <w:left w:val="nil"/>
              <w:bottom w:val="single" w:sz="8" w:space="0" w:color="auto"/>
              <w:right w:val="nil"/>
            </w:tcBorders>
            <w:shd w:val="pct50" w:color="C0C0C0" w:fill="FFFFFF"/>
          </w:tcPr>
          <w:p w14:paraId="358FC628" w14:textId="77777777" w:rsidR="00024C54" w:rsidRPr="00024C54" w:rsidRDefault="00024C54" w:rsidP="00024C54">
            <w:pPr>
              <w:rPr>
                <w:b/>
                <w:bCs/>
              </w:rPr>
            </w:pPr>
            <w:r w:rsidRPr="00024C54">
              <w:rPr>
                <w:b/>
                <w:bCs/>
              </w:rPr>
              <w:t>Kč</w:t>
            </w:r>
          </w:p>
        </w:tc>
        <w:tc>
          <w:tcPr>
            <w:tcW w:w="1021" w:type="dxa"/>
            <w:gridSpan w:val="2"/>
            <w:tcBorders>
              <w:top w:val="nil"/>
              <w:left w:val="nil"/>
              <w:bottom w:val="single" w:sz="8" w:space="0" w:color="auto"/>
              <w:right w:val="nil"/>
            </w:tcBorders>
            <w:shd w:val="pct50" w:color="C0C0C0" w:fill="FFFFFF"/>
          </w:tcPr>
          <w:p w14:paraId="67B1CF96" w14:textId="77777777" w:rsidR="00024C54" w:rsidRPr="00024C54" w:rsidRDefault="00024C54" w:rsidP="00024C54">
            <w:pPr>
              <w:rPr>
                <w:b/>
                <w:bCs/>
                <w:vertAlign w:val="superscript"/>
              </w:rPr>
            </w:pPr>
            <w:r w:rsidRPr="00024C54">
              <w:rPr>
                <w:b/>
                <w:bCs/>
              </w:rPr>
              <w:t>Kč/m</w:t>
            </w:r>
            <w:r w:rsidRPr="00024C54">
              <w:rPr>
                <w:b/>
                <w:bCs/>
                <w:vertAlign w:val="superscript"/>
              </w:rPr>
              <w:t>2</w:t>
            </w:r>
          </w:p>
        </w:tc>
        <w:tc>
          <w:tcPr>
            <w:tcW w:w="945" w:type="dxa"/>
            <w:tcBorders>
              <w:top w:val="nil"/>
              <w:left w:val="nil"/>
              <w:bottom w:val="single" w:sz="8" w:space="0" w:color="auto"/>
              <w:right w:val="nil"/>
            </w:tcBorders>
            <w:shd w:val="pct50" w:color="C0C0C0" w:fill="FFFFFF"/>
          </w:tcPr>
          <w:p w14:paraId="2B758C47" w14:textId="77777777" w:rsidR="00024C54" w:rsidRPr="00024C54" w:rsidRDefault="00024C54" w:rsidP="00024C54">
            <w:pPr>
              <w:rPr>
                <w:b/>
                <w:bCs/>
                <w:vertAlign w:val="subscript"/>
              </w:rPr>
            </w:pPr>
            <w:r w:rsidRPr="00024C54">
              <w:rPr>
                <w:b/>
                <w:bCs/>
              </w:rPr>
              <w:t>K</w:t>
            </w:r>
            <w:r w:rsidRPr="00024C54">
              <w:rPr>
                <w:b/>
                <w:bCs/>
                <w:vertAlign w:val="subscript"/>
              </w:rPr>
              <w:t>C</w:t>
            </w:r>
          </w:p>
        </w:tc>
        <w:tc>
          <w:tcPr>
            <w:tcW w:w="945" w:type="dxa"/>
            <w:tcBorders>
              <w:top w:val="nil"/>
              <w:left w:val="nil"/>
              <w:bottom w:val="single" w:sz="6" w:space="0" w:color="auto"/>
              <w:right w:val="single" w:sz="8" w:space="0" w:color="auto"/>
            </w:tcBorders>
            <w:shd w:val="pct50" w:color="C0C0C0" w:fill="FFFFFF"/>
          </w:tcPr>
          <w:p w14:paraId="57935104" w14:textId="77777777" w:rsidR="00024C54" w:rsidRPr="00024C54" w:rsidRDefault="00024C54" w:rsidP="00024C54">
            <w:pPr>
              <w:rPr>
                <w:b/>
                <w:bCs/>
                <w:vertAlign w:val="superscript"/>
              </w:rPr>
            </w:pPr>
            <w:r w:rsidRPr="00024C54">
              <w:rPr>
                <w:b/>
                <w:bCs/>
              </w:rPr>
              <w:t>Kč/m</w:t>
            </w:r>
            <w:r w:rsidRPr="00024C54">
              <w:rPr>
                <w:b/>
                <w:bCs/>
                <w:vertAlign w:val="superscript"/>
              </w:rPr>
              <w:t>2</w:t>
            </w:r>
          </w:p>
        </w:tc>
      </w:tr>
      <w:tr w:rsidR="00024C54" w:rsidRPr="00024C54" w14:paraId="78026E1A" w14:textId="77777777">
        <w:tc>
          <w:tcPr>
            <w:tcW w:w="3930" w:type="dxa"/>
            <w:tcBorders>
              <w:top w:val="nil"/>
              <w:left w:val="single" w:sz="8" w:space="0" w:color="auto"/>
              <w:bottom w:val="nil"/>
              <w:right w:val="nil"/>
            </w:tcBorders>
            <w:vAlign w:val="center"/>
          </w:tcPr>
          <w:p w14:paraId="61EEF5A4" w14:textId="77777777" w:rsidR="00024C54" w:rsidRPr="00024C54" w:rsidRDefault="00024C54" w:rsidP="00024C54">
            <w:r w:rsidRPr="00024C54">
              <w:t>Plocha Frýdlant</w:t>
            </w:r>
          </w:p>
        </w:tc>
        <w:tc>
          <w:tcPr>
            <w:tcW w:w="870" w:type="dxa"/>
            <w:tcBorders>
              <w:top w:val="nil"/>
              <w:left w:val="nil"/>
              <w:bottom w:val="nil"/>
              <w:right w:val="nil"/>
            </w:tcBorders>
          </w:tcPr>
          <w:p w14:paraId="27528473" w14:textId="77777777" w:rsidR="00024C54" w:rsidRPr="00024C54" w:rsidRDefault="00024C54" w:rsidP="00024C54">
            <w:r w:rsidRPr="00024C54">
              <w:t>1</w:t>
            </w:r>
          </w:p>
        </w:tc>
        <w:tc>
          <w:tcPr>
            <w:tcW w:w="831" w:type="dxa"/>
            <w:tcBorders>
              <w:top w:val="nil"/>
              <w:left w:val="nil"/>
              <w:bottom w:val="nil"/>
              <w:right w:val="nil"/>
            </w:tcBorders>
          </w:tcPr>
          <w:p w14:paraId="23AFEA86" w14:textId="77777777" w:rsidR="00024C54" w:rsidRPr="00024C54" w:rsidRDefault="00024C54" w:rsidP="00024C54">
            <w:r w:rsidRPr="00024C54">
              <w:t>1 620</w:t>
            </w:r>
          </w:p>
        </w:tc>
        <w:tc>
          <w:tcPr>
            <w:tcW w:w="1096" w:type="dxa"/>
            <w:tcBorders>
              <w:top w:val="nil"/>
              <w:left w:val="nil"/>
              <w:bottom w:val="nil"/>
              <w:right w:val="nil"/>
            </w:tcBorders>
          </w:tcPr>
          <w:p w14:paraId="2EC4D9BE" w14:textId="77777777" w:rsidR="00024C54" w:rsidRPr="00024C54" w:rsidRDefault="00024C54" w:rsidP="00024C54">
            <w:r w:rsidRPr="00024C54">
              <w:t>6 000 000</w:t>
            </w:r>
          </w:p>
        </w:tc>
        <w:tc>
          <w:tcPr>
            <w:tcW w:w="1021" w:type="dxa"/>
            <w:gridSpan w:val="2"/>
            <w:tcBorders>
              <w:top w:val="nil"/>
              <w:left w:val="nil"/>
              <w:bottom w:val="nil"/>
              <w:right w:val="nil"/>
            </w:tcBorders>
          </w:tcPr>
          <w:p w14:paraId="50E2174D" w14:textId="77777777" w:rsidR="00024C54" w:rsidRPr="00024C54" w:rsidRDefault="00024C54" w:rsidP="00024C54">
            <w:r w:rsidRPr="00024C54">
              <w:t>3 703,70</w:t>
            </w:r>
          </w:p>
        </w:tc>
        <w:tc>
          <w:tcPr>
            <w:tcW w:w="945" w:type="dxa"/>
            <w:tcBorders>
              <w:top w:val="nil"/>
              <w:left w:val="nil"/>
              <w:bottom w:val="nil"/>
              <w:right w:val="nil"/>
            </w:tcBorders>
          </w:tcPr>
          <w:p w14:paraId="0CA4D78B" w14:textId="77777777" w:rsidR="00024C54" w:rsidRPr="00024C54" w:rsidRDefault="00024C54" w:rsidP="00024C54">
            <w:r w:rsidRPr="00024C54">
              <w:t>0,68</w:t>
            </w:r>
          </w:p>
        </w:tc>
        <w:tc>
          <w:tcPr>
            <w:tcW w:w="945" w:type="dxa"/>
            <w:tcBorders>
              <w:top w:val="nil"/>
              <w:left w:val="nil"/>
              <w:bottom w:val="nil"/>
              <w:right w:val="single" w:sz="8" w:space="0" w:color="auto"/>
            </w:tcBorders>
          </w:tcPr>
          <w:p w14:paraId="2AED988F" w14:textId="77777777" w:rsidR="00024C54" w:rsidRPr="00024C54" w:rsidRDefault="00024C54" w:rsidP="00024C54">
            <w:r w:rsidRPr="00024C54">
              <w:t>2 500,76</w:t>
            </w:r>
          </w:p>
        </w:tc>
      </w:tr>
      <w:tr w:rsidR="00024C54" w:rsidRPr="00024C54" w14:paraId="63395A6F" w14:textId="77777777">
        <w:tc>
          <w:tcPr>
            <w:tcW w:w="6954" w:type="dxa"/>
            <w:gridSpan w:val="5"/>
            <w:tcBorders>
              <w:top w:val="nil"/>
              <w:left w:val="single" w:sz="8" w:space="0" w:color="auto"/>
              <w:bottom w:val="single" w:sz="6" w:space="0" w:color="auto"/>
              <w:right w:val="nil"/>
            </w:tcBorders>
            <w:vAlign w:val="center"/>
          </w:tcPr>
          <w:p w14:paraId="1046D894" w14:textId="77777777" w:rsidR="00024C54" w:rsidRPr="00024C54" w:rsidRDefault="00024C54" w:rsidP="00024C54">
            <w:r w:rsidRPr="00024C54">
              <w:t xml:space="preserve">Jedná se o </w:t>
            </w:r>
            <w:proofErr w:type="gramStart"/>
            <w:r w:rsidRPr="00024C54">
              <w:t>pozemek  vhodný</w:t>
            </w:r>
            <w:proofErr w:type="gramEnd"/>
            <w:r w:rsidRPr="00024C54">
              <w:t xml:space="preserve"> pro výstavbu objektů občanské vybavenosti. Všechny inženýrské sítě. Umístěn u komunikace. </w:t>
            </w:r>
            <w:r w:rsidRPr="00024C54">
              <w:br/>
            </w:r>
            <w:r w:rsidRPr="00024C54">
              <w:br/>
              <w:t>Hodnocení: redukce pramene ceny - redukce 15% - 0,85; velikost pozemku - větší - 0,90; poloha pozemku - horší - 0,94; dopravní dostupnost - horší - 0,95; možnost zastavění pozemku - lepší - 1,02; intenzita využití pozemku - lepší - 1,02; vybavenost pozemku - podobné - 1,00; úvaha zpracovatele ocenění - horší - 0,95</w:t>
            </w:r>
            <w:r w:rsidRPr="00024C54">
              <w:br/>
            </w:r>
            <w:r w:rsidRPr="00024C54">
              <w:br/>
              <w:t xml:space="preserve">Zdůvodnění koeficientu </w:t>
            </w:r>
            <w:proofErr w:type="spellStart"/>
            <w:r w:rsidRPr="00024C54">
              <w:t>K</w:t>
            </w:r>
            <w:r w:rsidRPr="00024C54">
              <w:rPr>
                <w:vertAlign w:val="subscript"/>
              </w:rPr>
              <w:t>c</w:t>
            </w:r>
            <w:proofErr w:type="spellEnd"/>
            <w:r w:rsidRPr="00024C54">
              <w:t>: redukce pramene ceny - redukce 15% 0,85; velikost pozemku - větší 0,90; poloha pozemku - horší 0,94; dopravní dostupnost - horší 0,95; možnost zastavění pozemku - lepší 1,02; intenzita využití pozemku - lepší 1,02; vybavenost pozemku - podobné 1,00; úvaha zpracovatele ocenění - horší 0,95</w:t>
            </w:r>
          </w:p>
        </w:tc>
        <w:tc>
          <w:tcPr>
            <w:tcW w:w="2684" w:type="dxa"/>
            <w:gridSpan w:val="3"/>
            <w:tcBorders>
              <w:top w:val="nil"/>
              <w:left w:val="nil"/>
              <w:bottom w:val="single" w:sz="6" w:space="0" w:color="auto"/>
              <w:right w:val="single" w:sz="8" w:space="0" w:color="auto"/>
            </w:tcBorders>
          </w:tcPr>
          <w:p w14:paraId="08EF666F" w14:textId="6EF79441" w:rsidR="00024C54" w:rsidRPr="00024C54" w:rsidRDefault="00024C54" w:rsidP="00024C54">
            <w:r w:rsidRPr="00024C54">
              <w:rPr>
                <w:noProof/>
              </w:rPr>
              <w:drawing>
                <wp:inline distT="0" distB="0" distL="0" distR="0" wp14:anchorId="5850A5B1" wp14:editId="0CCB5138">
                  <wp:extent cx="1504950" cy="102870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028700"/>
                          </a:xfrm>
                          <a:prstGeom prst="rect">
                            <a:avLst/>
                          </a:prstGeom>
                          <a:noFill/>
                          <a:ln>
                            <a:noFill/>
                          </a:ln>
                        </pic:spPr>
                      </pic:pic>
                    </a:graphicData>
                  </a:graphic>
                </wp:inline>
              </w:drawing>
            </w:r>
            <w:r w:rsidRPr="00024C54">
              <w:br/>
            </w:r>
          </w:p>
        </w:tc>
      </w:tr>
      <w:tr w:rsidR="00024C54" w:rsidRPr="00024C54" w14:paraId="61404B9F" w14:textId="77777777">
        <w:tc>
          <w:tcPr>
            <w:tcW w:w="3930" w:type="dxa"/>
            <w:tcBorders>
              <w:top w:val="nil"/>
              <w:left w:val="single" w:sz="8" w:space="0" w:color="auto"/>
              <w:bottom w:val="nil"/>
              <w:right w:val="nil"/>
            </w:tcBorders>
            <w:vAlign w:val="center"/>
          </w:tcPr>
          <w:p w14:paraId="2A4F3150" w14:textId="77777777" w:rsidR="00024C54" w:rsidRPr="00024C54" w:rsidRDefault="00024C54" w:rsidP="00024C54">
            <w:r w:rsidRPr="00024C54">
              <w:t>Pozemek Lípa</w:t>
            </w:r>
          </w:p>
        </w:tc>
        <w:tc>
          <w:tcPr>
            <w:tcW w:w="870" w:type="dxa"/>
            <w:tcBorders>
              <w:top w:val="nil"/>
              <w:left w:val="nil"/>
              <w:bottom w:val="nil"/>
              <w:right w:val="nil"/>
            </w:tcBorders>
          </w:tcPr>
          <w:p w14:paraId="3B238D80" w14:textId="77777777" w:rsidR="00024C54" w:rsidRPr="00024C54" w:rsidRDefault="00024C54" w:rsidP="00024C54">
            <w:r w:rsidRPr="00024C54">
              <w:t>2</w:t>
            </w:r>
          </w:p>
        </w:tc>
        <w:tc>
          <w:tcPr>
            <w:tcW w:w="831" w:type="dxa"/>
            <w:tcBorders>
              <w:top w:val="nil"/>
              <w:left w:val="nil"/>
              <w:bottom w:val="nil"/>
              <w:right w:val="nil"/>
            </w:tcBorders>
          </w:tcPr>
          <w:p w14:paraId="5DF82D42" w14:textId="77777777" w:rsidR="00024C54" w:rsidRPr="00024C54" w:rsidRDefault="00024C54" w:rsidP="00024C54">
            <w:r w:rsidRPr="00024C54">
              <w:t>14 247</w:t>
            </w:r>
          </w:p>
        </w:tc>
        <w:tc>
          <w:tcPr>
            <w:tcW w:w="1096" w:type="dxa"/>
            <w:tcBorders>
              <w:top w:val="nil"/>
              <w:left w:val="nil"/>
              <w:bottom w:val="nil"/>
              <w:right w:val="nil"/>
            </w:tcBorders>
          </w:tcPr>
          <w:p w14:paraId="14ED1AF1" w14:textId="77777777" w:rsidR="00024C54" w:rsidRPr="00024C54" w:rsidRDefault="00024C54" w:rsidP="00024C54">
            <w:r w:rsidRPr="00024C54">
              <w:t>45 590 400</w:t>
            </w:r>
          </w:p>
        </w:tc>
        <w:tc>
          <w:tcPr>
            <w:tcW w:w="1021" w:type="dxa"/>
            <w:gridSpan w:val="2"/>
            <w:tcBorders>
              <w:top w:val="nil"/>
              <w:left w:val="nil"/>
              <w:bottom w:val="nil"/>
              <w:right w:val="nil"/>
            </w:tcBorders>
          </w:tcPr>
          <w:p w14:paraId="672F3A7C" w14:textId="77777777" w:rsidR="00024C54" w:rsidRPr="00024C54" w:rsidRDefault="00024C54" w:rsidP="00024C54">
            <w:r w:rsidRPr="00024C54">
              <w:t>3 200,00</w:t>
            </w:r>
          </w:p>
        </w:tc>
        <w:tc>
          <w:tcPr>
            <w:tcW w:w="945" w:type="dxa"/>
            <w:tcBorders>
              <w:top w:val="nil"/>
              <w:left w:val="nil"/>
              <w:bottom w:val="nil"/>
              <w:right w:val="nil"/>
            </w:tcBorders>
          </w:tcPr>
          <w:p w14:paraId="19E383F6" w14:textId="77777777" w:rsidR="00024C54" w:rsidRPr="00024C54" w:rsidRDefault="00024C54" w:rsidP="00024C54">
            <w:r w:rsidRPr="00024C54">
              <w:t>0,70</w:t>
            </w:r>
          </w:p>
        </w:tc>
        <w:tc>
          <w:tcPr>
            <w:tcW w:w="945" w:type="dxa"/>
            <w:tcBorders>
              <w:top w:val="nil"/>
              <w:left w:val="nil"/>
              <w:bottom w:val="nil"/>
              <w:right w:val="single" w:sz="8" w:space="0" w:color="auto"/>
            </w:tcBorders>
          </w:tcPr>
          <w:p w14:paraId="484A30D6" w14:textId="77777777" w:rsidR="00024C54" w:rsidRPr="00024C54" w:rsidRDefault="00024C54" w:rsidP="00024C54">
            <w:r w:rsidRPr="00024C54">
              <w:t>2 241,23</w:t>
            </w:r>
          </w:p>
        </w:tc>
      </w:tr>
      <w:tr w:rsidR="00024C54" w:rsidRPr="00024C54" w14:paraId="3D4BB252" w14:textId="77777777">
        <w:tc>
          <w:tcPr>
            <w:tcW w:w="6954" w:type="dxa"/>
            <w:gridSpan w:val="5"/>
            <w:tcBorders>
              <w:top w:val="nil"/>
              <w:left w:val="single" w:sz="8" w:space="0" w:color="auto"/>
              <w:bottom w:val="single" w:sz="6" w:space="0" w:color="auto"/>
              <w:right w:val="nil"/>
            </w:tcBorders>
            <w:vAlign w:val="center"/>
          </w:tcPr>
          <w:p w14:paraId="7AA1F058" w14:textId="77777777" w:rsidR="00024C54" w:rsidRPr="00024C54" w:rsidRDefault="00024C54" w:rsidP="00024C54">
            <w:r w:rsidRPr="00024C54">
              <w:t xml:space="preserve">Jedná se o </w:t>
            </w:r>
            <w:proofErr w:type="gramStart"/>
            <w:r w:rsidRPr="00024C54">
              <w:t>pozemek  vhodný</w:t>
            </w:r>
            <w:proofErr w:type="gramEnd"/>
            <w:r w:rsidRPr="00024C54">
              <w:t xml:space="preserve"> pro </w:t>
            </w:r>
            <w:proofErr w:type="gramStart"/>
            <w:r w:rsidRPr="00024C54">
              <w:t>různé  developerské</w:t>
            </w:r>
            <w:proofErr w:type="gramEnd"/>
            <w:r w:rsidRPr="00024C54">
              <w:t xml:space="preserve"> činnosti, včetně občanské vybavenosti. Umístěn u komunikace. Nutno dobudovat inženýrské sítě. Atraktivní poloha u Zlína. </w:t>
            </w:r>
            <w:r w:rsidRPr="00024C54">
              <w:br/>
            </w:r>
            <w:r w:rsidRPr="00024C54">
              <w:br/>
              <w:t xml:space="preserve">Hodnocení: redukce pramene ceny - redukce 15% - 0,85; velikost pozemku - menší - 1,08; poloha pozemku - horší - 0,80; dopravní dostupnost - horší - 0,97; možnost zastavění pozemku - lepší - 1,02; </w:t>
            </w:r>
            <w:r w:rsidRPr="00024C54">
              <w:lastRenderedPageBreak/>
              <w:t>intenzita využití pozemku - lepší - 1,02; vybavenost pozemku - lepší - 1,05; úvaha zpracovatele ocenění - horší - 0,90</w:t>
            </w:r>
            <w:r w:rsidRPr="00024C54">
              <w:br/>
            </w:r>
            <w:r w:rsidRPr="00024C54">
              <w:br/>
              <w:t xml:space="preserve">Zdůvodnění koeficientu </w:t>
            </w:r>
            <w:proofErr w:type="spellStart"/>
            <w:r w:rsidRPr="00024C54">
              <w:t>K</w:t>
            </w:r>
            <w:r w:rsidRPr="00024C54">
              <w:rPr>
                <w:vertAlign w:val="subscript"/>
              </w:rPr>
              <w:t>c</w:t>
            </w:r>
            <w:proofErr w:type="spellEnd"/>
            <w:r w:rsidRPr="00024C54">
              <w:t>: redukce pramene ceny - redukce 15% 0,85; velikost pozemku - menší 1,08; poloha pozemku - horší 0,80; dopravní dostupnost - horší 0,97; možnost zastavění pozemku - lepší 1,02; intenzita využití pozemku - lepší 1,02; vybavenost pozemku - lepší 1,05; úvaha zpracovatele ocenění - horší 0,90</w:t>
            </w:r>
          </w:p>
        </w:tc>
        <w:tc>
          <w:tcPr>
            <w:tcW w:w="2684" w:type="dxa"/>
            <w:gridSpan w:val="3"/>
            <w:tcBorders>
              <w:top w:val="nil"/>
              <w:left w:val="nil"/>
              <w:bottom w:val="single" w:sz="6" w:space="0" w:color="auto"/>
              <w:right w:val="single" w:sz="8" w:space="0" w:color="auto"/>
            </w:tcBorders>
          </w:tcPr>
          <w:p w14:paraId="318E5B27" w14:textId="02822153" w:rsidR="00024C54" w:rsidRPr="00024C54" w:rsidRDefault="00024C54" w:rsidP="00024C54">
            <w:r w:rsidRPr="00024C54">
              <w:rPr>
                <w:noProof/>
              </w:rPr>
              <w:lastRenderedPageBreak/>
              <w:drawing>
                <wp:inline distT="0" distB="0" distL="0" distR="0" wp14:anchorId="28F14DEB" wp14:editId="63E27A7E">
                  <wp:extent cx="1524000" cy="116205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pic:spPr>
                      </pic:pic>
                    </a:graphicData>
                  </a:graphic>
                </wp:inline>
              </w:drawing>
            </w:r>
            <w:r w:rsidRPr="00024C54">
              <w:br/>
            </w:r>
          </w:p>
        </w:tc>
      </w:tr>
      <w:tr w:rsidR="00024C54" w:rsidRPr="00024C54" w14:paraId="0F5718B5" w14:textId="77777777">
        <w:tc>
          <w:tcPr>
            <w:tcW w:w="3930" w:type="dxa"/>
            <w:tcBorders>
              <w:top w:val="nil"/>
              <w:left w:val="single" w:sz="8" w:space="0" w:color="auto"/>
              <w:bottom w:val="nil"/>
              <w:right w:val="nil"/>
            </w:tcBorders>
            <w:vAlign w:val="center"/>
          </w:tcPr>
          <w:p w14:paraId="1C04D4C0" w14:textId="77777777" w:rsidR="00024C54" w:rsidRPr="00024C54" w:rsidRDefault="00024C54" w:rsidP="00024C54">
            <w:r w:rsidRPr="00024C54">
              <w:t xml:space="preserve">Pozemek </w:t>
            </w:r>
            <w:proofErr w:type="gramStart"/>
            <w:r w:rsidRPr="00024C54">
              <w:t>Přerov  Lipnická</w:t>
            </w:r>
            <w:proofErr w:type="gramEnd"/>
          </w:p>
        </w:tc>
        <w:tc>
          <w:tcPr>
            <w:tcW w:w="870" w:type="dxa"/>
            <w:tcBorders>
              <w:top w:val="nil"/>
              <w:left w:val="nil"/>
              <w:bottom w:val="nil"/>
              <w:right w:val="nil"/>
            </w:tcBorders>
          </w:tcPr>
          <w:p w14:paraId="00627EE1" w14:textId="77777777" w:rsidR="00024C54" w:rsidRPr="00024C54" w:rsidRDefault="00024C54" w:rsidP="00024C54">
            <w:r w:rsidRPr="00024C54">
              <w:t>3</w:t>
            </w:r>
          </w:p>
        </w:tc>
        <w:tc>
          <w:tcPr>
            <w:tcW w:w="831" w:type="dxa"/>
            <w:tcBorders>
              <w:top w:val="nil"/>
              <w:left w:val="nil"/>
              <w:bottom w:val="nil"/>
              <w:right w:val="nil"/>
            </w:tcBorders>
          </w:tcPr>
          <w:p w14:paraId="5DAA28E5" w14:textId="77777777" w:rsidR="00024C54" w:rsidRPr="00024C54" w:rsidRDefault="00024C54" w:rsidP="00024C54">
            <w:r w:rsidRPr="00024C54">
              <w:t>5 278</w:t>
            </w:r>
          </w:p>
        </w:tc>
        <w:tc>
          <w:tcPr>
            <w:tcW w:w="1096" w:type="dxa"/>
            <w:tcBorders>
              <w:top w:val="nil"/>
              <w:left w:val="nil"/>
              <w:bottom w:val="nil"/>
              <w:right w:val="nil"/>
            </w:tcBorders>
          </w:tcPr>
          <w:p w14:paraId="63EFCB02" w14:textId="77777777" w:rsidR="00024C54" w:rsidRPr="00024C54" w:rsidRDefault="00024C54" w:rsidP="00024C54">
            <w:r w:rsidRPr="00024C54">
              <w:t>20 000 000</w:t>
            </w:r>
          </w:p>
        </w:tc>
        <w:tc>
          <w:tcPr>
            <w:tcW w:w="1021" w:type="dxa"/>
            <w:gridSpan w:val="2"/>
            <w:tcBorders>
              <w:top w:val="nil"/>
              <w:left w:val="nil"/>
              <w:bottom w:val="nil"/>
              <w:right w:val="nil"/>
            </w:tcBorders>
          </w:tcPr>
          <w:p w14:paraId="014BF096" w14:textId="77777777" w:rsidR="00024C54" w:rsidRPr="00024C54" w:rsidRDefault="00024C54" w:rsidP="00024C54">
            <w:r w:rsidRPr="00024C54">
              <w:t>3 789,31</w:t>
            </w:r>
          </w:p>
        </w:tc>
        <w:tc>
          <w:tcPr>
            <w:tcW w:w="945" w:type="dxa"/>
            <w:tcBorders>
              <w:top w:val="nil"/>
              <w:left w:val="nil"/>
              <w:bottom w:val="nil"/>
              <w:right w:val="nil"/>
            </w:tcBorders>
          </w:tcPr>
          <w:p w14:paraId="59594A56" w14:textId="77777777" w:rsidR="00024C54" w:rsidRPr="00024C54" w:rsidRDefault="00024C54" w:rsidP="00024C54">
            <w:r w:rsidRPr="00024C54">
              <w:t>0,75</w:t>
            </w:r>
          </w:p>
        </w:tc>
        <w:tc>
          <w:tcPr>
            <w:tcW w:w="945" w:type="dxa"/>
            <w:tcBorders>
              <w:top w:val="nil"/>
              <w:left w:val="nil"/>
              <w:bottom w:val="nil"/>
              <w:right w:val="single" w:sz="8" w:space="0" w:color="auto"/>
            </w:tcBorders>
          </w:tcPr>
          <w:p w14:paraId="5185A6A6" w14:textId="77777777" w:rsidR="00024C54" w:rsidRPr="00024C54" w:rsidRDefault="00024C54" w:rsidP="00024C54">
            <w:r w:rsidRPr="00024C54">
              <w:t>2 842,33</w:t>
            </w:r>
          </w:p>
        </w:tc>
      </w:tr>
      <w:tr w:rsidR="00024C54" w:rsidRPr="00024C54" w14:paraId="6C9D8922" w14:textId="77777777">
        <w:tc>
          <w:tcPr>
            <w:tcW w:w="6954" w:type="dxa"/>
            <w:gridSpan w:val="5"/>
            <w:tcBorders>
              <w:top w:val="nil"/>
              <w:left w:val="single" w:sz="8" w:space="0" w:color="auto"/>
              <w:bottom w:val="single" w:sz="6" w:space="0" w:color="auto"/>
              <w:right w:val="nil"/>
            </w:tcBorders>
            <w:vAlign w:val="center"/>
          </w:tcPr>
          <w:p w14:paraId="1B5B8889" w14:textId="77777777" w:rsidR="00024C54" w:rsidRPr="00024C54" w:rsidRDefault="00024C54" w:rsidP="00024C54">
            <w:r w:rsidRPr="00024C54">
              <w:t xml:space="preserve">Jedná se o </w:t>
            </w:r>
            <w:proofErr w:type="gramStart"/>
            <w:r w:rsidRPr="00024C54">
              <w:t>pozemek  vhodný</w:t>
            </w:r>
            <w:proofErr w:type="gramEnd"/>
            <w:r w:rsidRPr="00024C54">
              <w:t xml:space="preserve"> pro občanskou </w:t>
            </w:r>
            <w:proofErr w:type="gramStart"/>
            <w:r w:rsidRPr="00024C54">
              <w:t>vybavenost - polyfunkční</w:t>
            </w:r>
            <w:proofErr w:type="gramEnd"/>
            <w:r w:rsidRPr="00024C54">
              <w:t xml:space="preserve"> </w:t>
            </w:r>
            <w:proofErr w:type="gramStart"/>
            <w:r w:rsidRPr="00024C54">
              <w:t>dům..</w:t>
            </w:r>
            <w:proofErr w:type="gramEnd"/>
            <w:r w:rsidRPr="00024C54">
              <w:t xml:space="preserve"> Umístěn u komunikace, blízkost dálnice, všechny inženýrské sítě. </w:t>
            </w:r>
            <w:r w:rsidRPr="00024C54">
              <w:br/>
            </w:r>
            <w:r w:rsidRPr="00024C54">
              <w:br/>
              <w:t>Hodnocení: redukce pramene ceny - redukce 15% - 0,85; velikost pozemku - větší - 0,97; poloha pozemku - horší - 0,96; dopravní dostupnost - horší - 0,94; možnost zastavění pozemku - lepší - 1,02; intenzita využití pozemku - lepší - 1,02; vybavenost pozemku - lepší - 1,02; úvaha zpracovatele ocenění - horší - 0,95</w:t>
            </w:r>
            <w:r w:rsidRPr="00024C54">
              <w:br/>
            </w:r>
            <w:r w:rsidRPr="00024C54">
              <w:br/>
              <w:t xml:space="preserve">Zdůvodnění koeficientu </w:t>
            </w:r>
            <w:proofErr w:type="spellStart"/>
            <w:r w:rsidRPr="00024C54">
              <w:t>K</w:t>
            </w:r>
            <w:r w:rsidRPr="00024C54">
              <w:rPr>
                <w:vertAlign w:val="subscript"/>
              </w:rPr>
              <w:t>c</w:t>
            </w:r>
            <w:proofErr w:type="spellEnd"/>
            <w:r w:rsidRPr="00024C54">
              <w:t>: redukce pramene ceny - redukce 15% 0,85; velikost pozemku - větší 0,97; poloha pozemku - horší 0,96; dopravní dostupnost - horší 0,94; možnost zastavění pozemku - lepší 1,02; intenzita využití pozemku - lepší 1,02; vybavenost pozemku - lepší 1,02; úvaha zpracovatele ocenění - horší 0,95</w:t>
            </w:r>
          </w:p>
        </w:tc>
        <w:tc>
          <w:tcPr>
            <w:tcW w:w="2684" w:type="dxa"/>
            <w:gridSpan w:val="3"/>
            <w:tcBorders>
              <w:top w:val="nil"/>
              <w:left w:val="nil"/>
              <w:bottom w:val="single" w:sz="6" w:space="0" w:color="auto"/>
              <w:right w:val="single" w:sz="8" w:space="0" w:color="auto"/>
            </w:tcBorders>
          </w:tcPr>
          <w:p w14:paraId="2191ACC3" w14:textId="1D794221" w:rsidR="00024C54" w:rsidRPr="00024C54" w:rsidRDefault="00024C54" w:rsidP="00024C54">
            <w:r w:rsidRPr="00024C54">
              <w:rPr>
                <w:noProof/>
              </w:rPr>
              <w:drawing>
                <wp:inline distT="0" distB="0" distL="0" distR="0" wp14:anchorId="4C470950" wp14:editId="470B744B">
                  <wp:extent cx="1504950" cy="1152525"/>
                  <wp:effectExtent l="0" t="0" r="0"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152525"/>
                          </a:xfrm>
                          <a:prstGeom prst="rect">
                            <a:avLst/>
                          </a:prstGeom>
                          <a:noFill/>
                          <a:ln>
                            <a:noFill/>
                          </a:ln>
                        </pic:spPr>
                      </pic:pic>
                    </a:graphicData>
                  </a:graphic>
                </wp:inline>
              </w:drawing>
            </w:r>
            <w:r w:rsidRPr="00024C54">
              <w:br/>
            </w:r>
          </w:p>
        </w:tc>
      </w:tr>
      <w:tr w:rsidR="00024C54" w:rsidRPr="00024C54" w14:paraId="178E25BA" w14:textId="77777777">
        <w:tc>
          <w:tcPr>
            <w:tcW w:w="3930" w:type="dxa"/>
            <w:tcBorders>
              <w:top w:val="nil"/>
              <w:left w:val="single" w:sz="8" w:space="0" w:color="auto"/>
              <w:bottom w:val="nil"/>
              <w:right w:val="nil"/>
            </w:tcBorders>
            <w:vAlign w:val="center"/>
          </w:tcPr>
          <w:p w14:paraId="72A2C473" w14:textId="77777777" w:rsidR="00024C54" w:rsidRPr="00024C54" w:rsidRDefault="00024C54" w:rsidP="00024C54">
            <w:r w:rsidRPr="00024C54">
              <w:t xml:space="preserve">Pozemek </w:t>
            </w:r>
            <w:proofErr w:type="gramStart"/>
            <w:r w:rsidRPr="00024C54">
              <w:t>Přerov  Tovačovská</w:t>
            </w:r>
            <w:proofErr w:type="gramEnd"/>
          </w:p>
        </w:tc>
        <w:tc>
          <w:tcPr>
            <w:tcW w:w="870" w:type="dxa"/>
            <w:tcBorders>
              <w:top w:val="nil"/>
              <w:left w:val="nil"/>
              <w:bottom w:val="nil"/>
              <w:right w:val="nil"/>
            </w:tcBorders>
          </w:tcPr>
          <w:p w14:paraId="69576D94" w14:textId="77777777" w:rsidR="00024C54" w:rsidRPr="00024C54" w:rsidRDefault="00024C54" w:rsidP="00024C54">
            <w:r w:rsidRPr="00024C54">
              <w:t>3</w:t>
            </w:r>
          </w:p>
        </w:tc>
        <w:tc>
          <w:tcPr>
            <w:tcW w:w="831" w:type="dxa"/>
            <w:tcBorders>
              <w:top w:val="nil"/>
              <w:left w:val="nil"/>
              <w:bottom w:val="nil"/>
              <w:right w:val="nil"/>
            </w:tcBorders>
          </w:tcPr>
          <w:p w14:paraId="5A13C611" w14:textId="77777777" w:rsidR="00024C54" w:rsidRPr="00024C54" w:rsidRDefault="00024C54" w:rsidP="00024C54">
            <w:r w:rsidRPr="00024C54">
              <w:t>2 429</w:t>
            </w:r>
          </w:p>
        </w:tc>
        <w:tc>
          <w:tcPr>
            <w:tcW w:w="1096" w:type="dxa"/>
            <w:tcBorders>
              <w:top w:val="nil"/>
              <w:left w:val="nil"/>
              <w:bottom w:val="nil"/>
              <w:right w:val="nil"/>
            </w:tcBorders>
          </w:tcPr>
          <w:p w14:paraId="43A26B51" w14:textId="77777777" w:rsidR="00024C54" w:rsidRPr="00024C54" w:rsidRDefault="00024C54" w:rsidP="00024C54">
            <w:r w:rsidRPr="00024C54">
              <w:t>6 200 000</w:t>
            </w:r>
          </w:p>
        </w:tc>
        <w:tc>
          <w:tcPr>
            <w:tcW w:w="1021" w:type="dxa"/>
            <w:gridSpan w:val="2"/>
            <w:tcBorders>
              <w:top w:val="nil"/>
              <w:left w:val="nil"/>
              <w:bottom w:val="nil"/>
              <w:right w:val="nil"/>
            </w:tcBorders>
          </w:tcPr>
          <w:p w14:paraId="48FBE6E8" w14:textId="77777777" w:rsidR="00024C54" w:rsidRPr="00024C54" w:rsidRDefault="00024C54" w:rsidP="00024C54">
            <w:r w:rsidRPr="00024C54">
              <w:t>2 552,49</w:t>
            </w:r>
          </w:p>
        </w:tc>
        <w:tc>
          <w:tcPr>
            <w:tcW w:w="945" w:type="dxa"/>
            <w:tcBorders>
              <w:top w:val="nil"/>
              <w:left w:val="nil"/>
              <w:bottom w:val="nil"/>
              <w:right w:val="nil"/>
            </w:tcBorders>
          </w:tcPr>
          <w:p w14:paraId="02D61C04" w14:textId="77777777" w:rsidR="00024C54" w:rsidRPr="00024C54" w:rsidRDefault="00024C54" w:rsidP="00024C54">
            <w:r w:rsidRPr="00024C54">
              <w:t>0,79</w:t>
            </w:r>
          </w:p>
        </w:tc>
        <w:tc>
          <w:tcPr>
            <w:tcW w:w="945" w:type="dxa"/>
            <w:tcBorders>
              <w:top w:val="nil"/>
              <w:left w:val="nil"/>
              <w:bottom w:val="nil"/>
              <w:right w:val="single" w:sz="8" w:space="0" w:color="auto"/>
            </w:tcBorders>
          </w:tcPr>
          <w:p w14:paraId="6AFD6EBC" w14:textId="77777777" w:rsidR="00024C54" w:rsidRPr="00024C54" w:rsidRDefault="00024C54" w:rsidP="00024C54">
            <w:r w:rsidRPr="00024C54">
              <w:t>2 017,08</w:t>
            </w:r>
          </w:p>
        </w:tc>
      </w:tr>
      <w:tr w:rsidR="00024C54" w:rsidRPr="00024C54" w14:paraId="00F0C726" w14:textId="77777777">
        <w:tc>
          <w:tcPr>
            <w:tcW w:w="6954" w:type="dxa"/>
            <w:gridSpan w:val="5"/>
            <w:tcBorders>
              <w:top w:val="nil"/>
              <w:left w:val="single" w:sz="8" w:space="0" w:color="auto"/>
              <w:bottom w:val="single" w:sz="6" w:space="0" w:color="auto"/>
              <w:right w:val="nil"/>
            </w:tcBorders>
            <w:vAlign w:val="center"/>
          </w:tcPr>
          <w:p w14:paraId="434A0BB0" w14:textId="77777777" w:rsidR="00024C54" w:rsidRPr="00024C54" w:rsidRDefault="00024C54" w:rsidP="00024C54">
            <w:r w:rsidRPr="00024C54">
              <w:t xml:space="preserve">Jedná se o </w:t>
            </w:r>
            <w:proofErr w:type="gramStart"/>
            <w:r w:rsidRPr="00024C54">
              <w:t>pozemek  vhodný</w:t>
            </w:r>
            <w:proofErr w:type="gramEnd"/>
            <w:r w:rsidRPr="00024C54">
              <w:t xml:space="preserve"> pro </w:t>
            </w:r>
            <w:proofErr w:type="gramStart"/>
            <w:r w:rsidRPr="00024C54">
              <w:t>různé  developerské</w:t>
            </w:r>
            <w:proofErr w:type="gramEnd"/>
            <w:r w:rsidRPr="00024C54">
              <w:t xml:space="preserve"> činnosti. Umístěn u komunikace, všechny inženýrské sítě. </w:t>
            </w:r>
            <w:r w:rsidRPr="00024C54">
              <w:br/>
            </w:r>
            <w:r w:rsidRPr="00024C54">
              <w:br/>
              <w:t>Hodnocení: redukce pramene ceny - redukce 15% - 0,85; velikost pozemku - větší - 0,97; poloha pozemku - horší - 0,96; dopravní dostupnost - horší - 0,96; možnost zastavění pozemku - lepší - 1,02; intenzita využití pozemku - lepší - 1,02; vybavenost pozemku - lepší - 1,02; úvaha zpracovatele ocenění - horší - 0,98</w:t>
            </w:r>
            <w:r w:rsidRPr="00024C54">
              <w:br/>
            </w:r>
            <w:r w:rsidRPr="00024C54">
              <w:br/>
              <w:t xml:space="preserve">Zdůvodnění koeficientu </w:t>
            </w:r>
            <w:proofErr w:type="spellStart"/>
            <w:r w:rsidRPr="00024C54">
              <w:t>K</w:t>
            </w:r>
            <w:r w:rsidRPr="00024C54">
              <w:rPr>
                <w:vertAlign w:val="subscript"/>
              </w:rPr>
              <w:t>c</w:t>
            </w:r>
            <w:proofErr w:type="spellEnd"/>
            <w:r w:rsidRPr="00024C54">
              <w:t xml:space="preserve">: redukce pramene ceny - redukce 15% 0,85; velikost pozemku - větší 0,97; poloha pozemku - horší 0,96; dopravní dostupnost - horší 0,96; možnost zastavění pozemku - </w:t>
            </w:r>
            <w:r w:rsidRPr="00024C54">
              <w:lastRenderedPageBreak/>
              <w:t>lepší 1,02; intenzita využití pozemku - lepší 1,02; vybavenost pozemku - lepší 1,02; úvaha zpracovatele ocenění - horší 0,98</w:t>
            </w:r>
          </w:p>
        </w:tc>
        <w:tc>
          <w:tcPr>
            <w:tcW w:w="2684" w:type="dxa"/>
            <w:gridSpan w:val="3"/>
            <w:tcBorders>
              <w:top w:val="nil"/>
              <w:left w:val="nil"/>
              <w:bottom w:val="single" w:sz="6" w:space="0" w:color="auto"/>
              <w:right w:val="single" w:sz="8" w:space="0" w:color="auto"/>
            </w:tcBorders>
          </w:tcPr>
          <w:p w14:paraId="0AAF44D8" w14:textId="24C898D6" w:rsidR="00024C54" w:rsidRPr="00024C54" w:rsidRDefault="00024C54" w:rsidP="00024C54">
            <w:r w:rsidRPr="00024C54">
              <w:rPr>
                <w:noProof/>
              </w:rPr>
              <w:lastRenderedPageBreak/>
              <w:drawing>
                <wp:inline distT="0" distB="0" distL="0" distR="0" wp14:anchorId="5C3D0CD7" wp14:editId="7264EC42">
                  <wp:extent cx="1428750" cy="120967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209675"/>
                          </a:xfrm>
                          <a:prstGeom prst="rect">
                            <a:avLst/>
                          </a:prstGeom>
                          <a:noFill/>
                          <a:ln>
                            <a:noFill/>
                          </a:ln>
                        </pic:spPr>
                      </pic:pic>
                    </a:graphicData>
                  </a:graphic>
                </wp:inline>
              </w:drawing>
            </w:r>
            <w:r w:rsidRPr="00024C54">
              <w:br/>
            </w:r>
          </w:p>
        </w:tc>
      </w:tr>
      <w:tr w:rsidR="00024C54" w:rsidRPr="00024C54" w14:paraId="28C13813" w14:textId="77777777">
        <w:tc>
          <w:tcPr>
            <w:tcW w:w="6727" w:type="dxa"/>
            <w:gridSpan w:val="4"/>
            <w:tcBorders>
              <w:top w:val="nil"/>
              <w:left w:val="single" w:sz="8" w:space="0" w:color="auto"/>
              <w:bottom w:val="single" w:sz="6" w:space="0" w:color="auto"/>
              <w:right w:val="nil"/>
            </w:tcBorders>
            <w:shd w:val="pct50" w:color="C0C0C0" w:fill="FFFFFF"/>
            <w:vAlign w:val="center"/>
          </w:tcPr>
          <w:p w14:paraId="3014A485" w14:textId="77777777" w:rsidR="00024C54" w:rsidRPr="00024C54" w:rsidRDefault="00024C54" w:rsidP="00024C54">
            <w:pPr>
              <w:rPr>
                <w:b/>
                <w:bCs/>
              </w:rPr>
            </w:pPr>
            <w:r w:rsidRPr="00024C54">
              <w:rPr>
                <w:b/>
                <w:bCs/>
              </w:rPr>
              <w:t>Průměrná jednotková cena</w:t>
            </w:r>
          </w:p>
        </w:tc>
        <w:tc>
          <w:tcPr>
            <w:tcW w:w="2911" w:type="dxa"/>
            <w:gridSpan w:val="4"/>
            <w:tcBorders>
              <w:top w:val="nil"/>
              <w:left w:val="nil"/>
              <w:bottom w:val="single" w:sz="6" w:space="0" w:color="auto"/>
              <w:right w:val="single" w:sz="8" w:space="0" w:color="auto"/>
            </w:tcBorders>
            <w:shd w:val="pct50" w:color="C0C0C0" w:fill="FFFFFF"/>
          </w:tcPr>
          <w:p w14:paraId="22F84023" w14:textId="77777777" w:rsidR="00024C54" w:rsidRPr="00024C54" w:rsidRDefault="00024C54" w:rsidP="00024C54">
            <w:pPr>
              <w:rPr>
                <w:b/>
                <w:bCs/>
                <w:vertAlign w:val="superscript"/>
              </w:rPr>
            </w:pPr>
            <w:r w:rsidRPr="00024C54">
              <w:rPr>
                <w:b/>
                <w:bCs/>
              </w:rPr>
              <w:t>2 400,35 Kč/m</w:t>
            </w:r>
            <w:r w:rsidRPr="00024C54">
              <w:rPr>
                <w:b/>
                <w:bCs/>
                <w:vertAlign w:val="superscript"/>
              </w:rPr>
              <w:t>2</w:t>
            </w:r>
          </w:p>
        </w:tc>
      </w:tr>
    </w:tbl>
    <w:p w14:paraId="3C843376" w14:textId="77777777" w:rsidR="003272D9" w:rsidRPr="003272D9" w:rsidRDefault="003272D9" w:rsidP="003272D9"/>
    <w:p w14:paraId="6E075379" w14:textId="78888C10" w:rsidR="00BE2F43" w:rsidRDefault="003272D9" w:rsidP="008C5078">
      <w:r>
        <w:t>Průměrná jednotková cena za m2 plochy A činí 2 4</w:t>
      </w:r>
      <w:r w:rsidR="00024C54">
        <w:t>0</w:t>
      </w:r>
      <w:r>
        <w:t>0Kč</w:t>
      </w:r>
      <w:r w:rsidR="00024C54">
        <w:t xml:space="preserve"> za </w:t>
      </w:r>
      <w:r>
        <w:t xml:space="preserve">m2. Vzhledem na to, že </w:t>
      </w:r>
      <w:proofErr w:type="gramStart"/>
      <w:r>
        <w:t xml:space="preserve">není </w:t>
      </w:r>
      <w:r w:rsidR="00024C54">
        <w:t xml:space="preserve"> </w:t>
      </w:r>
      <w:r>
        <w:t>dokončeno</w:t>
      </w:r>
      <w:proofErr w:type="gramEnd"/>
      <w:r>
        <w:t xml:space="preserve"> schválení nového územního plánu na </w:t>
      </w:r>
      <w:proofErr w:type="gramStart"/>
      <w:r>
        <w:t>změnu  budoucího</w:t>
      </w:r>
      <w:proofErr w:type="gramEnd"/>
      <w:r>
        <w:t xml:space="preserve"> určení plochy A na obchodní </w:t>
      </w:r>
      <w:proofErr w:type="spellStart"/>
      <w:r>
        <w:t>zonu</w:t>
      </w:r>
      <w:proofErr w:type="spellEnd"/>
      <w:r>
        <w:t xml:space="preserve"> / v současné době </w:t>
      </w:r>
      <w:r w:rsidR="00024C54">
        <w:t xml:space="preserve">těsně </w:t>
      </w:r>
      <w:r>
        <w:t xml:space="preserve">před schválením / je cena redukována o </w:t>
      </w:r>
      <w:r w:rsidR="00024C54">
        <w:t>cca</w:t>
      </w:r>
      <w:r>
        <w:t>10% na cenu 2 200,-Kč za m2.</w:t>
      </w:r>
    </w:p>
    <w:p w14:paraId="4D83DAEB" w14:textId="77777777" w:rsidR="00BE2F43" w:rsidRDefault="00BE2F43" w:rsidP="008C5078"/>
    <w:p w14:paraId="7B214269" w14:textId="29723D72" w:rsidR="00BE2F43" w:rsidRDefault="003272D9" w:rsidP="008C5078">
      <w:r>
        <w:t>Cena plochy A činí: 8</w:t>
      </w:r>
      <w:r w:rsidR="00024C54">
        <w:t xml:space="preserve"> </w:t>
      </w:r>
      <w:r>
        <w:t>300 x 2 200 = 18 260 000,- Kč</w:t>
      </w:r>
    </w:p>
    <w:p w14:paraId="32491A7F" w14:textId="77777777" w:rsidR="00BE2F43" w:rsidRDefault="00BE2F43" w:rsidP="008C5078"/>
    <w:p w14:paraId="077A3563" w14:textId="77777777" w:rsidR="00BE2F43" w:rsidRDefault="00BE2F43" w:rsidP="008C5078"/>
    <w:p w14:paraId="30326413" w14:textId="77777777" w:rsidR="00BE2F43" w:rsidRDefault="00BE2F43" w:rsidP="008C5078"/>
    <w:p w14:paraId="5B0DF17E" w14:textId="77777777" w:rsidR="00803A8D" w:rsidRDefault="00803A8D" w:rsidP="004E6C2B"/>
    <w:p w14:paraId="43F61914" w14:textId="77777777" w:rsidR="00803A8D" w:rsidRDefault="00803A8D" w:rsidP="004E6C2B"/>
    <w:p w14:paraId="24108DF1" w14:textId="77777777" w:rsidR="00803A8D" w:rsidRDefault="00803A8D" w:rsidP="00803A8D">
      <w:pPr>
        <w:rPr>
          <w:b/>
          <w:bCs/>
        </w:rPr>
      </w:pPr>
    </w:p>
    <w:p w14:paraId="7FA28BB0" w14:textId="1EAC0D2B" w:rsidR="00803A8D" w:rsidRDefault="00803A8D" w:rsidP="00803A8D">
      <w:pPr>
        <w:widowControl w:val="0"/>
        <w:tabs>
          <w:tab w:val="left" w:pos="4230"/>
        </w:tabs>
        <w:autoSpaceDE w:val="0"/>
        <w:autoSpaceDN w:val="0"/>
        <w:adjustRightInd w:val="0"/>
        <w:spacing w:after="0" w:line="240" w:lineRule="auto"/>
        <w:rPr>
          <w:rFonts w:ascii="Times New Roman" w:hAnsi="Times New Roman"/>
          <w:b/>
          <w:color w:val="000000"/>
          <w:sz w:val="32"/>
          <w:szCs w:val="32"/>
        </w:rPr>
      </w:pPr>
      <w:r w:rsidRPr="00BA0BD0">
        <w:rPr>
          <w:rFonts w:ascii="Times New Roman" w:hAnsi="Times New Roman"/>
          <w:b/>
          <w:color w:val="000000"/>
          <w:sz w:val="32"/>
          <w:szCs w:val="32"/>
        </w:rPr>
        <w:t xml:space="preserve">Hodnota </w:t>
      </w:r>
      <w:r w:rsidR="003272D9">
        <w:rPr>
          <w:rFonts w:ascii="Times New Roman" w:hAnsi="Times New Roman"/>
          <w:b/>
          <w:color w:val="000000"/>
          <w:sz w:val="32"/>
          <w:szCs w:val="32"/>
        </w:rPr>
        <w:t>plochy A o</w:t>
      </w:r>
      <w:r w:rsidR="00024C54">
        <w:rPr>
          <w:rFonts w:ascii="Times New Roman" w:hAnsi="Times New Roman"/>
          <w:b/>
          <w:color w:val="000000"/>
          <w:sz w:val="32"/>
          <w:szCs w:val="32"/>
        </w:rPr>
        <w:t xml:space="preserve"> </w:t>
      </w:r>
      <w:r w:rsidR="003272D9">
        <w:rPr>
          <w:rFonts w:ascii="Times New Roman" w:hAnsi="Times New Roman"/>
          <w:b/>
          <w:color w:val="000000"/>
          <w:sz w:val="32"/>
          <w:szCs w:val="32"/>
        </w:rPr>
        <w:t>ploše 8 </w:t>
      </w:r>
      <w:proofErr w:type="gramStart"/>
      <w:r w:rsidR="003272D9">
        <w:rPr>
          <w:rFonts w:ascii="Times New Roman" w:hAnsi="Times New Roman"/>
          <w:b/>
          <w:color w:val="000000"/>
          <w:sz w:val="32"/>
          <w:szCs w:val="32"/>
        </w:rPr>
        <w:t>300m2</w:t>
      </w:r>
      <w:proofErr w:type="gramEnd"/>
      <w:r w:rsidR="003272D9">
        <w:rPr>
          <w:rFonts w:ascii="Times New Roman" w:hAnsi="Times New Roman"/>
          <w:b/>
          <w:color w:val="000000"/>
          <w:sz w:val="32"/>
          <w:szCs w:val="32"/>
        </w:rPr>
        <w:t xml:space="preserve"> v bývalém areálu skláren Karolinka </w:t>
      </w:r>
      <w:proofErr w:type="gramStart"/>
      <w:r w:rsidR="003272D9">
        <w:rPr>
          <w:rFonts w:ascii="Times New Roman" w:hAnsi="Times New Roman"/>
          <w:b/>
          <w:color w:val="000000"/>
          <w:sz w:val="32"/>
          <w:szCs w:val="32"/>
        </w:rPr>
        <w:t xml:space="preserve">činí </w:t>
      </w:r>
      <w:r w:rsidRPr="00BA0BD0">
        <w:rPr>
          <w:rFonts w:ascii="Times New Roman" w:hAnsi="Times New Roman"/>
          <w:b/>
          <w:color w:val="000000"/>
          <w:sz w:val="32"/>
          <w:szCs w:val="32"/>
        </w:rPr>
        <w:t xml:space="preserve"> po</w:t>
      </w:r>
      <w:proofErr w:type="gramEnd"/>
      <w:r w:rsidRPr="00BA0BD0">
        <w:rPr>
          <w:rFonts w:ascii="Times New Roman" w:hAnsi="Times New Roman"/>
          <w:b/>
          <w:color w:val="000000"/>
          <w:sz w:val="32"/>
          <w:szCs w:val="32"/>
        </w:rPr>
        <w:t xml:space="preserve"> zaokrouhlení </w:t>
      </w:r>
    </w:p>
    <w:p w14:paraId="19D5E3DD"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b/>
          <w:color w:val="000000"/>
          <w:sz w:val="32"/>
          <w:szCs w:val="32"/>
        </w:rPr>
      </w:pPr>
    </w:p>
    <w:p w14:paraId="3D9351C1" w14:textId="7F2EDE53" w:rsidR="00803A8D" w:rsidRDefault="00803A8D" w:rsidP="00803A8D">
      <w:pPr>
        <w:widowControl w:val="0"/>
        <w:tabs>
          <w:tab w:val="left" w:pos="4230"/>
        </w:tabs>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t xml:space="preserve">                     </w:t>
      </w:r>
      <w:r w:rsidR="003272D9">
        <w:rPr>
          <w:rFonts w:ascii="Times New Roman" w:hAnsi="Times New Roman"/>
          <w:b/>
          <w:color w:val="000000"/>
          <w:sz w:val="32"/>
          <w:szCs w:val="32"/>
        </w:rPr>
        <w:t>18 260 000</w:t>
      </w:r>
      <w:r w:rsidRPr="00BA0BD0">
        <w:rPr>
          <w:rFonts w:ascii="Times New Roman" w:hAnsi="Times New Roman"/>
          <w:b/>
          <w:color w:val="000000"/>
          <w:sz w:val="32"/>
          <w:szCs w:val="32"/>
        </w:rPr>
        <w:t>,-Kč.</w:t>
      </w:r>
    </w:p>
    <w:p w14:paraId="57B422FE"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b/>
          <w:color w:val="000000"/>
          <w:sz w:val="32"/>
          <w:szCs w:val="32"/>
        </w:rPr>
      </w:pPr>
    </w:p>
    <w:p w14:paraId="34AF47DC" w14:textId="77777777" w:rsidR="00803A8D" w:rsidRPr="00BA0BD0" w:rsidRDefault="00803A8D" w:rsidP="00803A8D">
      <w:pPr>
        <w:widowControl w:val="0"/>
        <w:tabs>
          <w:tab w:val="left" w:pos="4230"/>
        </w:tabs>
        <w:autoSpaceDE w:val="0"/>
        <w:autoSpaceDN w:val="0"/>
        <w:adjustRightInd w:val="0"/>
        <w:spacing w:after="0" w:line="240" w:lineRule="auto"/>
        <w:rPr>
          <w:rFonts w:ascii="Times New Roman" w:hAnsi="Times New Roman"/>
          <w:b/>
          <w:color w:val="000000"/>
          <w:sz w:val="32"/>
          <w:szCs w:val="32"/>
        </w:rPr>
      </w:pPr>
    </w:p>
    <w:p w14:paraId="436497BE"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color w:val="000000"/>
        </w:rPr>
      </w:pPr>
    </w:p>
    <w:p w14:paraId="4169A6AC"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color w:val="000000"/>
        </w:rPr>
      </w:pPr>
    </w:p>
    <w:p w14:paraId="0D2BE6D6"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color w:val="000000"/>
        </w:rPr>
      </w:pPr>
    </w:p>
    <w:p w14:paraId="684344C1"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color w:val="000000"/>
        </w:rPr>
      </w:pPr>
    </w:p>
    <w:p w14:paraId="77B195F9"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color w:val="000000"/>
        </w:rPr>
      </w:pPr>
    </w:p>
    <w:p w14:paraId="72D366F1"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color w:val="000000"/>
        </w:rPr>
      </w:pPr>
    </w:p>
    <w:p w14:paraId="33212490" w14:textId="77777777" w:rsidR="00803A8D" w:rsidRPr="00BA0BD0" w:rsidRDefault="00803A8D" w:rsidP="00803A8D">
      <w:pPr>
        <w:widowControl w:val="0"/>
        <w:tabs>
          <w:tab w:val="left" w:pos="4230"/>
        </w:tabs>
        <w:autoSpaceDE w:val="0"/>
        <w:autoSpaceDN w:val="0"/>
        <w:adjustRightInd w:val="0"/>
        <w:spacing w:after="0" w:line="240" w:lineRule="auto"/>
        <w:rPr>
          <w:rFonts w:ascii="Times New Roman" w:hAnsi="Times New Roman"/>
          <w:color w:val="000000"/>
          <w:sz w:val="16"/>
          <w:szCs w:val="16"/>
        </w:rPr>
      </w:pPr>
      <w:r>
        <w:rPr>
          <w:rFonts w:ascii="Calibri" w:hAnsi="Calibri" w:cs="Calibri"/>
          <w:b/>
          <w:bCs/>
          <w:color w:val="000000"/>
          <w:sz w:val="32"/>
          <w:szCs w:val="32"/>
        </w:rPr>
        <w:t>Odměna, náhrada nákladů</w:t>
      </w:r>
    </w:p>
    <w:p w14:paraId="19846947" w14:textId="77777777" w:rsidR="00803A8D" w:rsidRDefault="00803A8D" w:rsidP="00803A8D">
      <w:pPr>
        <w:widowControl w:val="0"/>
        <w:tabs>
          <w:tab w:val="left" w:pos="4230"/>
        </w:tabs>
        <w:autoSpaceDE w:val="0"/>
        <w:autoSpaceDN w:val="0"/>
        <w:adjustRightInd w:val="0"/>
        <w:spacing w:before="113" w:after="113" w:line="240" w:lineRule="auto"/>
        <w:rPr>
          <w:rFonts w:ascii="Times New Roman" w:hAnsi="Times New Roman"/>
          <w:color w:val="000000"/>
        </w:rPr>
      </w:pPr>
      <w:r>
        <w:rPr>
          <w:rFonts w:ascii="Times New Roman" w:hAnsi="Times New Roman"/>
          <w:color w:val="000000"/>
        </w:rPr>
        <w:t>Odměna byla sjednána smluvně.</w:t>
      </w:r>
    </w:p>
    <w:p w14:paraId="07C78EC8" w14:textId="6F4433D4" w:rsidR="00803A8D" w:rsidRDefault="00803A8D" w:rsidP="00803A8D">
      <w:pPr>
        <w:widowControl w:val="0"/>
        <w:tabs>
          <w:tab w:val="left" w:pos="4230"/>
        </w:tabs>
        <w:autoSpaceDE w:val="0"/>
        <w:autoSpaceDN w:val="0"/>
        <w:adjustRightInd w:val="0"/>
        <w:spacing w:before="170" w:after="113" w:line="240" w:lineRule="auto"/>
        <w:rPr>
          <w:rFonts w:ascii="Times New Roman" w:hAnsi="Times New Roman"/>
          <w:color w:val="000000"/>
        </w:rPr>
      </w:pPr>
      <w:r>
        <w:rPr>
          <w:rFonts w:ascii="Times New Roman" w:hAnsi="Times New Roman"/>
          <w:color w:val="000000"/>
        </w:rPr>
        <w:t>Znalečné účtuji dokladem č. 2026/4</w:t>
      </w:r>
      <w:r w:rsidR="003272D9">
        <w:rPr>
          <w:rFonts w:ascii="Times New Roman" w:hAnsi="Times New Roman"/>
          <w:color w:val="000000"/>
        </w:rPr>
        <w:t>5</w:t>
      </w:r>
      <w:r>
        <w:rPr>
          <w:rFonts w:ascii="Times New Roman" w:hAnsi="Times New Roman"/>
          <w:color w:val="000000"/>
        </w:rPr>
        <w:t>.</w:t>
      </w:r>
    </w:p>
    <w:p w14:paraId="5F9CF4CC" w14:textId="77777777" w:rsidR="00024C54" w:rsidRDefault="00024C54" w:rsidP="00803A8D">
      <w:pPr>
        <w:widowControl w:val="0"/>
        <w:tabs>
          <w:tab w:val="left" w:pos="4230"/>
        </w:tabs>
        <w:autoSpaceDE w:val="0"/>
        <w:autoSpaceDN w:val="0"/>
        <w:adjustRightInd w:val="0"/>
        <w:spacing w:before="170" w:after="113" w:line="240" w:lineRule="auto"/>
        <w:rPr>
          <w:rFonts w:ascii="Times New Roman" w:hAnsi="Times New Roman"/>
          <w:color w:val="000000"/>
        </w:rPr>
      </w:pPr>
    </w:p>
    <w:p w14:paraId="6D970826" w14:textId="77777777" w:rsidR="00024C54" w:rsidRDefault="00024C54" w:rsidP="00803A8D">
      <w:pPr>
        <w:widowControl w:val="0"/>
        <w:tabs>
          <w:tab w:val="left" w:pos="4230"/>
        </w:tabs>
        <w:autoSpaceDE w:val="0"/>
        <w:autoSpaceDN w:val="0"/>
        <w:adjustRightInd w:val="0"/>
        <w:spacing w:before="170" w:after="113" w:line="240" w:lineRule="auto"/>
        <w:rPr>
          <w:rFonts w:ascii="Times New Roman" w:hAnsi="Times New Roman"/>
          <w:color w:val="000000"/>
        </w:rPr>
      </w:pPr>
    </w:p>
    <w:p w14:paraId="33A4FD92" w14:textId="77777777" w:rsidR="003105CA" w:rsidRDefault="003105CA" w:rsidP="00803A8D">
      <w:pPr>
        <w:widowControl w:val="0"/>
        <w:autoSpaceDE w:val="0"/>
        <w:autoSpaceDN w:val="0"/>
        <w:adjustRightInd w:val="0"/>
        <w:spacing w:after="0" w:line="240" w:lineRule="auto"/>
        <w:rPr>
          <w:rFonts w:ascii="Times New Roman" w:hAnsi="Times New Roman"/>
          <w:color w:val="000000"/>
        </w:rPr>
      </w:pPr>
    </w:p>
    <w:p w14:paraId="65204B0D" w14:textId="77777777" w:rsidR="00803A8D" w:rsidRDefault="00803A8D" w:rsidP="00803A8D">
      <w:pPr>
        <w:widowControl w:val="0"/>
        <w:autoSpaceDE w:val="0"/>
        <w:autoSpaceDN w:val="0"/>
        <w:adjustRightInd w:val="0"/>
        <w:spacing w:after="0" w:line="240" w:lineRule="auto"/>
        <w:rPr>
          <w:rFonts w:ascii="Times New Roman" w:hAnsi="Times New Roman"/>
          <w:color w:val="000000"/>
        </w:rPr>
      </w:pPr>
    </w:p>
    <w:p w14:paraId="548FE477" w14:textId="77777777" w:rsidR="00803A8D" w:rsidRDefault="00803A8D" w:rsidP="00803A8D">
      <w:pPr>
        <w:widowControl w:val="0"/>
        <w:autoSpaceDE w:val="0"/>
        <w:autoSpaceDN w:val="0"/>
        <w:adjustRightInd w:val="0"/>
        <w:spacing w:after="0" w:line="240" w:lineRule="auto"/>
        <w:rPr>
          <w:rFonts w:ascii="Times New Roman" w:hAnsi="Times New Roman"/>
          <w:color w:val="000000"/>
        </w:rPr>
      </w:pPr>
    </w:p>
    <w:p w14:paraId="42B33639" w14:textId="77777777" w:rsidR="00803A8D" w:rsidRDefault="00803A8D" w:rsidP="00803A8D">
      <w:pPr>
        <w:widowControl w:val="0"/>
        <w:autoSpaceDE w:val="0"/>
        <w:autoSpaceDN w:val="0"/>
        <w:adjustRightInd w:val="0"/>
        <w:spacing w:after="0" w:line="240" w:lineRule="auto"/>
        <w:rPr>
          <w:rFonts w:ascii="Times New Roman" w:hAnsi="Times New Roman"/>
          <w:color w:val="000000"/>
        </w:rPr>
      </w:pPr>
    </w:p>
    <w:p w14:paraId="17D974F2" w14:textId="77777777" w:rsidR="00803A8D" w:rsidRDefault="00803A8D" w:rsidP="00803A8D">
      <w:pPr>
        <w:widowControl w:val="0"/>
        <w:autoSpaceDE w:val="0"/>
        <w:autoSpaceDN w:val="0"/>
        <w:adjustRightInd w:val="0"/>
        <w:spacing w:after="0" w:line="240" w:lineRule="auto"/>
        <w:rPr>
          <w:rFonts w:ascii="Times New Roman" w:hAnsi="Times New Roman"/>
          <w:color w:val="000000"/>
        </w:rPr>
      </w:pPr>
    </w:p>
    <w:p w14:paraId="4580522C" w14:textId="77777777" w:rsidR="00803A8D" w:rsidRDefault="00803A8D" w:rsidP="00803A8D">
      <w:pPr>
        <w:widowControl w:val="0"/>
        <w:tabs>
          <w:tab w:val="left" w:pos="4230"/>
        </w:tabs>
        <w:autoSpaceDE w:val="0"/>
        <w:autoSpaceDN w:val="0"/>
        <w:adjustRightInd w:val="0"/>
        <w:spacing w:before="170" w:after="113" w:line="240" w:lineRule="auto"/>
        <w:rPr>
          <w:rFonts w:ascii="Times New Roman" w:hAnsi="Times New Roman"/>
          <w:color w:val="000000"/>
        </w:rPr>
      </w:pPr>
    </w:p>
    <w:p w14:paraId="66DD3AC6" w14:textId="77777777" w:rsidR="00803A8D" w:rsidRDefault="00803A8D" w:rsidP="00803A8D">
      <w:pPr>
        <w:widowControl w:val="0"/>
        <w:tabs>
          <w:tab w:val="left" w:pos="4230"/>
        </w:tabs>
        <w:autoSpaceDE w:val="0"/>
        <w:autoSpaceDN w:val="0"/>
        <w:adjustRightInd w:val="0"/>
        <w:spacing w:before="340" w:after="113" w:line="240" w:lineRule="auto"/>
        <w:rPr>
          <w:rFonts w:ascii="Calibri" w:hAnsi="Calibri" w:cs="Calibri"/>
          <w:b/>
          <w:bCs/>
          <w:color w:val="000000"/>
          <w:sz w:val="36"/>
          <w:szCs w:val="36"/>
        </w:rPr>
      </w:pPr>
      <w:r>
        <w:rPr>
          <w:rFonts w:ascii="Calibri" w:hAnsi="Calibri" w:cs="Calibri"/>
          <w:b/>
          <w:bCs/>
          <w:color w:val="000000"/>
          <w:sz w:val="36"/>
          <w:szCs w:val="36"/>
        </w:rPr>
        <w:t>ZNALECKÁ DOLOŽKA</w:t>
      </w:r>
    </w:p>
    <w:p w14:paraId="5024A122" w14:textId="77777777" w:rsidR="00803A8D" w:rsidRDefault="00803A8D" w:rsidP="00803A8D">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Znalecký posudek jsem podal jako znalec jmenovaný rozhodnutím Krajského soudu v Ostravě ze dne 10.3.1994, </w:t>
      </w:r>
      <w:proofErr w:type="spellStart"/>
      <w:r>
        <w:rPr>
          <w:rFonts w:ascii="Times New Roman" w:hAnsi="Times New Roman"/>
          <w:color w:val="000000"/>
        </w:rPr>
        <w:t>č.j.Spr</w:t>
      </w:r>
      <w:proofErr w:type="spellEnd"/>
      <w:r>
        <w:rPr>
          <w:rFonts w:ascii="Times New Roman" w:hAnsi="Times New Roman"/>
          <w:color w:val="000000"/>
        </w:rPr>
        <w:t>. 1606/94, základní obor ekonomika, pro odvětví ceny a odhady nemovitostí.</w:t>
      </w:r>
    </w:p>
    <w:p w14:paraId="28468213" w14:textId="63428CA8" w:rsidR="00803A8D" w:rsidRDefault="00803A8D" w:rsidP="00803A8D">
      <w:pPr>
        <w:widowControl w:val="0"/>
        <w:tabs>
          <w:tab w:val="left" w:pos="4230"/>
        </w:tabs>
        <w:autoSpaceDE w:val="0"/>
        <w:autoSpaceDN w:val="0"/>
        <w:adjustRightInd w:val="0"/>
        <w:spacing w:before="170" w:after="113" w:line="240" w:lineRule="auto"/>
        <w:rPr>
          <w:rFonts w:ascii="Times New Roman" w:hAnsi="Times New Roman"/>
          <w:color w:val="000000"/>
        </w:rPr>
      </w:pPr>
      <w:r>
        <w:rPr>
          <w:rFonts w:ascii="Times New Roman" w:hAnsi="Times New Roman"/>
          <w:color w:val="000000"/>
        </w:rPr>
        <w:t>Znalecký posudek je zapsán v evidenci posudků pod pořadovým číslem 2026/4</w:t>
      </w:r>
      <w:r w:rsidR="003272D9">
        <w:rPr>
          <w:rFonts w:ascii="Times New Roman" w:hAnsi="Times New Roman"/>
          <w:color w:val="000000"/>
        </w:rPr>
        <w:t>5</w:t>
      </w:r>
      <w:r>
        <w:rPr>
          <w:rFonts w:ascii="Times New Roman" w:hAnsi="Times New Roman"/>
          <w:color w:val="000000"/>
        </w:rPr>
        <w:t>.</w:t>
      </w:r>
    </w:p>
    <w:p w14:paraId="33F8DBE2" w14:textId="25470B1A" w:rsidR="00803A8D" w:rsidRDefault="00803A8D" w:rsidP="00803A8D">
      <w:pPr>
        <w:widowControl w:val="0"/>
        <w:tabs>
          <w:tab w:val="left" w:pos="4230"/>
        </w:tabs>
        <w:autoSpaceDE w:val="0"/>
        <w:autoSpaceDN w:val="0"/>
        <w:adjustRightInd w:val="0"/>
        <w:spacing w:before="340" w:after="170" w:line="240" w:lineRule="auto"/>
        <w:rPr>
          <w:rFonts w:ascii="Times New Roman" w:hAnsi="Times New Roman"/>
          <w:color w:val="000000"/>
        </w:rPr>
      </w:pPr>
      <w:r>
        <w:rPr>
          <w:rFonts w:ascii="Times New Roman" w:hAnsi="Times New Roman"/>
          <w:color w:val="000000"/>
        </w:rPr>
        <w:t xml:space="preserve">Ve Vsetíně </w:t>
      </w:r>
      <w:r w:rsidR="003272D9">
        <w:rPr>
          <w:rFonts w:ascii="Times New Roman" w:hAnsi="Times New Roman"/>
          <w:color w:val="000000"/>
        </w:rPr>
        <w:t>9</w:t>
      </w:r>
      <w:r>
        <w:rPr>
          <w:rFonts w:ascii="Times New Roman" w:hAnsi="Times New Roman"/>
          <w:color w:val="000000"/>
        </w:rPr>
        <w:t>.6.2026</w:t>
      </w:r>
    </w:p>
    <w:p w14:paraId="6D1843CB" w14:textId="77777777" w:rsidR="00803A8D" w:rsidRDefault="00803A8D" w:rsidP="00803A8D">
      <w:pPr>
        <w:widowControl w:val="0"/>
        <w:tabs>
          <w:tab w:val="left" w:pos="4230"/>
        </w:tabs>
        <w:autoSpaceDE w:val="0"/>
        <w:autoSpaceDN w:val="0"/>
        <w:adjustRightInd w:val="0"/>
        <w:spacing w:before="340" w:after="170" w:line="240" w:lineRule="auto"/>
        <w:rPr>
          <w:rFonts w:ascii="Times New Roman" w:hAnsi="Times New Roman"/>
          <w:color w:val="000000"/>
        </w:rPr>
      </w:pPr>
    </w:p>
    <w:p w14:paraId="56EDA2A7" w14:textId="77777777" w:rsidR="00803A8D" w:rsidRDefault="00803A8D" w:rsidP="00803A8D">
      <w:pPr>
        <w:widowControl w:val="0"/>
        <w:tabs>
          <w:tab w:val="left" w:pos="4230"/>
        </w:tabs>
        <w:autoSpaceDE w:val="0"/>
        <w:autoSpaceDN w:val="0"/>
        <w:adjustRightInd w:val="0"/>
        <w:spacing w:before="340" w:after="170" w:line="240" w:lineRule="auto"/>
        <w:rPr>
          <w:rFonts w:ascii="Times New Roman" w:hAnsi="Times New Roman"/>
          <w:color w:val="000000"/>
        </w:rPr>
      </w:pPr>
    </w:p>
    <w:p w14:paraId="7585CDB0" w14:textId="77777777" w:rsidR="00803A8D" w:rsidRDefault="00803A8D" w:rsidP="00803A8D">
      <w:pPr>
        <w:widowControl w:val="0"/>
        <w:tabs>
          <w:tab w:val="left" w:pos="4230"/>
        </w:tabs>
        <w:autoSpaceDE w:val="0"/>
        <w:autoSpaceDN w:val="0"/>
        <w:adjustRightInd w:val="0"/>
        <w:spacing w:before="340" w:after="170" w:line="240" w:lineRule="auto"/>
        <w:ind w:left="2235" w:hanging="15"/>
        <w:jc w:val="center"/>
        <w:rPr>
          <w:rFonts w:ascii="Times New Roman" w:hAnsi="Times New Roman"/>
          <w:color w:val="000000"/>
        </w:rPr>
      </w:pPr>
      <w:r>
        <w:rPr>
          <w:rFonts w:ascii="Times New Roman" w:hAnsi="Times New Roman"/>
          <w:color w:val="000000"/>
        </w:rPr>
        <w:t>OTISK ZNALECKÉ PEČETI</w:t>
      </w:r>
    </w:p>
    <w:p w14:paraId="2930BDCB" w14:textId="77777777" w:rsidR="00803A8D" w:rsidRDefault="00803A8D" w:rsidP="00803A8D">
      <w:pPr>
        <w:widowControl w:val="0"/>
        <w:tabs>
          <w:tab w:val="left" w:pos="4230"/>
        </w:tabs>
        <w:autoSpaceDE w:val="0"/>
        <w:autoSpaceDN w:val="0"/>
        <w:adjustRightInd w:val="0"/>
        <w:spacing w:after="0" w:line="240" w:lineRule="auto"/>
        <w:ind w:left="2235" w:hanging="15"/>
        <w:jc w:val="center"/>
        <w:rPr>
          <w:rFonts w:ascii="Times New Roman" w:hAnsi="Times New Roman"/>
          <w:color w:val="000000"/>
        </w:rPr>
      </w:pPr>
      <w:r>
        <w:rPr>
          <w:rFonts w:ascii="Times New Roman" w:hAnsi="Times New Roman"/>
          <w:color w:val="000000"/>
        </w:rPr>
        <w:t>Ing. Eduard Hromada</w:t>
      </w:r>
    </w:p>
    <w:p w14:paraId="4DEDDB1A" w14:textId="77777777" w:rsidR="00803A8D" w:rsidRDefault="00803A8D" w:rsidP="00803A8D">
      <w:pPr>
        <w:widowControl w:val="0"/>
        <w:tabs>
          <w:tab w:val="left" w:pos="4230"/>
        </w:tabs>
        <w:autoSpaceDE w:val="0"/>
        <w:autoSpaceDN w:val="0"/>
        <w:adjustRightInd w:val="0"/>
        <w:spacing w:after="0" w:line="240" w:lineRule="auto"/>
        <w:ind w:left="2235" w:hanging="15"/>
        <w:jc w:val="center"/>
        <w:rPr>
          <w:rFonts w:ascii="Times New Roman" w:hAnsi="Times New Roman"/>
          <w:color w:val="000000"/>
        </w:rPr>
      </w:pPr>
      <w:r>
        <w:rPr>
          <w:rFonts w:ascii="Times New Roman" w:hAnsi="Times New Roman"/>
          <w:color w:val="000000"/>
        </w:rPr>
        <w:t>Lidická 1974</w:t>
      </w:r>
    </w:p>
    <w:p w14:paraId="38FB63CA" w14:textId="77777777" w:rsidR="00803A8D" w:rsidRDefault="00803A8D" w:rsidP="00803A8D">
      <w:pPr>
        <w:widowControl w:val="0"/>
        <w:tabs>
          <w:tab w:val="left" w:pos="4230"/>
        </w:tabs>
        <w:autoSpaceDE w:val="0"/>
        <w:autoSpaceDN w:val="0"/>
        <w:adjustRightInd w:val="0"/>
        <w:spacing w:after="170" w:line="240" w:lineRule="auto"/>
        <w:ind w:left="2235" w:hanging="15"/>
        <w:jc w:val="center"/>
        <w:rPr>
          <w:rFonts w:ascii="Times New Roman" w:hAnsi="Times New Roman"/>
          <w:color w:val="000000"/>
        </w:rPr>
      </w:pPr>
      <w:r>
        <w:rPr>
          <w:rFonts w:ascii="Times New Roman" w:hAnsi="Times New Roman"/>
          <w:color w:val="000000"/>
        </w:rPr>
        <w:t>755 01 Vsetín</w:t>
      </w:r>
    </w:p>
    <w:p w14:paraId="1F301314" w14:textId="77777777" w:rsidR="00803A8D" w:rsidRDefault="00803A8D" w:rsidP="00803A8D">
      <w:pPr>
        <w:widowControl w:val="0"/>
        <w:tabs>
          <w:tab w:val="left" w:pos="423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Zpracováno programem </w:t>
      </w:r>
      <w:proofErr w:type="spellStart"/>
      <w:r>
        <w:rPr>
          <w:rFonts w:ascii="Times New Roman" w:hAnsi="Times New Roman"/>
          <w:b/>
          <w:bCs/>
          <w:color w:val="000000"/>
          <w:sz w:val="20"/>
          <w:szCs w:val="20"/>
        </w:rPr>
        <w:t>NEM</w:t>
      </w:r>
      <w:r>
        <w:rPr>
          <w:rFonts w:ascii="Times New Roman" w:hAnsi="Times New Roman"/>
          <w:color w:val="000000"/>
          <w:sz w:val="20"/>
          <w:szCs w:val="20"/>
        </w:rPr>
        <w:t>Express</w:t>
      </w:r>
      <w:proofErr w:type="spellEnd"/>
      <w:r>
        <w:rPr>
          <w:rFonts w:ascii="Times New Roman" w:hAnsi="Times New Roman"/>
          <w:color w:val="000000"/>
          <w:sz w:val="20"/>
          <w:szCs w:val="20"/>
        </w:rPr>
        <w:t xml:space="preserve"> AC, verze: 3.14.5.</w:t>
      </w:r>
    </w:p>
    <w:p w14:paraId="14E4C09E" w14:textId="77777777" w:rsidR="00803A8D" w:rsidRPr="00803A8D" w:rsidRDefault="00803A8D" w:rsidP="00803A8D">
      <w:pPr>
        <w:rPr>
          <w:b/>
          <w:bCs/>
        </w:rPr>
      </w:pPr>
    </w:p>
    <w:sectPr w:rsidR="00803A8D" w:rsidRPr="00803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5883"/>
    <w:multiLevelType w:val="hybridMultilevel"/>
    <w:tmpl w:val="7EF4E4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45C38"/>
    <w:multiLevelType w:val="multilevel"/>
    <w:tmpl w:val="306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554B4"/>
    <w:multiLevelType w:val="hybridMultilevel"/>
    <w:tmpl w:val="997CA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3251578">
    <w:abstractNumId w:val="1"/>
  </w:num>
  <w:num w:numId="2" w16cid:durableId="1523085761">
    <w:abstractNumId w:val="2"/>
  </w:num>
  <w:num w:numId="3" w16cid:durableId="201734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46"/>
    <w:rsid w:val="00024C54"/>
    <w:rsid w:val="00044446"/>
    <w:rsid w:val="00075995"/>
    <w:rsid w:val="001A6B53"/>
    <w:rsid w:val="00213FC8"/>
    <w:rsid w:val="00261D70"/>
    <w:rsid w:val="003105CA"/>
    <w:rsid w:val="003272D9"/>
    <w:rsid w:val="00450272"/>
    <w:rsid w:val="004C6C9B"/>
    <w:rsid w:val="004E6C2B"/>
    <w:rsid w:val="005B4BD5"/>
    <w:rsid w:val="00675E1E"/>
    <w:rsid w:val="006A594C"/>
    <w:rsid w:val="006A7A15"/>
    <w:rsid w:val="00803A8D"/>
    <w:rsid w:val="00810D03"/>
    <w:rsid w:val="00864722"/>
    <w:rsid w:val="00881B6B"/>
    <w:rsid w:val="008C5078"/>
    <w:rsid w:val="00A6790B"/>
    <w:rsid w:val="00A715FC"/>
    <w:rsid w:val="00BE2F43"/>
    <w:rsid w:val="00D53A05"/>
    <w:rsid w:val="00F062B0"/>
    <w:rsid w:val="00FA0B09"/>
    <w:rsid w:val="00FA3E48"/>
    <w:rsid w:val="00FE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D2AF"/>
  <w15:chartTrackingRefBased/>
  <w15:docId w15:val="{FDD8E0B6-CF5A-4089-B9F3-BD4AC9BC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44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44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444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444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444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444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444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444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444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44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444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444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444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444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444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444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444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44446"/>
    <w:rPr>
      <w:rFonts w:eastAsiaTheme="majorEastAsia" w:cstheme="majorBidi"/>
      <w:color w:val="272727" w:themeColor="text1" w:themeTint="D8"/>
    </w:rPr>
  </w:style>
  <w:style w:type="paragraph" w:styleId="Nzev">
    <w:name w:val="Title"/>
    <w:basedOn w:val="Normln"/>
    <w:next w:val="Normln"/>
    <w:link w:val="NzevChar"/>
    <w:uiPriority w:val="10"/>
    <w:qFormat/>
    <w:rsid w:val="00044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444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444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444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44446"/>
    <w:pPr>
      <w:spacing w:before="160"/>
      <w:jc w:val="center"/>
    </w:pPr>
    <w:rPr>
      <w:i/>
      <w:iCs/>
      <w:color w:val="404040" w:themeColor="text1" w:themeTint="BF"/>
    </w:rPr>
  </w:style>
  <w:style w:type="character" w:customStyle="1" w:styleId="CittChar">
    <w:name w:val="Citát Char"/>
    <w:basedOn w:val="Standardnpsmoodstavce"/>
    <w:link w:val="Citt"/>
    <w:uiPriority w:val="29"/>
    <w:rsid w:val="00044446"/>
    <w:rPr>
      <w:i/>
      <w:iCs/>
      <w:color w:val="404040" w:themeColor="text1" w:themeTint="BF"/>
    </w:rPr>
  </w:style>
  <w:style w:type="paragraph" w:styleId="Odstavecseseznamem">
    <w:name w:val="List Paragraph"/>
    <w:basedOn w:val="Normln"/>
    <w:uiPriority w:val="34"/>
    <w:qFormat/>
    <w:rsid w:val="00044446"/>
    <w:pPr>
      <w:ind w:left="720"/>
      <w:contextualSpacing/>
    </w:pPr>
  </w:style>
  <w:style w:type="character" w:styleId="Zdraznnintenzivn">
    <w:name w:val="Intense Emphasis"/>
    <w:basedOn w:val="Standardnpsmoodstavce"/>
    <w:uiPriority w:val="21"/>
    <w:qFormat/>
    <w:rsid w:val="00044446"/>
    <w:rPr>
      <w:i/>
      <w:iCs/>
      <w:color w:val="0F4761" w:themeColor="accent1" w:themeShade="BF"/>
    </w:rPr>
  </w:style>
  <w:style w:type="paragraph" w:styleId="Vrazncitt">
    <w:name w:val="Intense Quote"/>
    <w:basedOn w:val="Normln"/>
    <w:next w:val="Normln"/>
    <w:link w:val="VrazncittChar"/>
    <w:uiPriority w:val="30"/>
    <w:qFormat/>
    <w:rsid w:val="00044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44446"/>
    <w:rPr>
      <w:i/>
      <w:iCs/>
      <w:color w:val="0F4761" w:themeColor="accent1" w:themeShade="BF"/>
    </w:rPr>
  </w:style>
  <w:style w:type="character" w:styleId="Odkazintenzivn">
    <w:name w:val="Intense Reference"/>
    <w:basedOn w:val="Standardnpsmoodstavce"/>
    <w:uiPriority w:val="32"/>
    <w:qFormat/>
    <w:rsid w:val="000444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56">
      <w:bodyDiv w:val="1"/>
      <w:marLeft w:val="0"/>
      <w:marRight w:val="0"/>
      <w:marTop w:val="0"/>
      <w:marBottom w:val="0"/>
      <w:divBdr>
        <w:top w:val="none" w:sz="0" w:space="0" w:color="auto"/>
        <w:left w:val="none" w:sz="0" w:space="0" w:color="auto"/>
        <w:bottom w:val="none" w:sz="0" w:space="0" w:color="auto"/>
        <w:right w:val="none" w:sz="0" w:space="0" w:color="auto"/>
      </w:divBdr>
    </w:div>
    <w:div w:id="10738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2322</Words>
  <Characters>13705</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Hrnčiříková</cp:lastModifiedBy>
  <cp:revision>2</cp:revision>
  <cp:lastPrinted>2026-06-05T05:00:00Z</cp:lastPrinted>
  <dcterms:created xsi:type="dcterms:W3CDTF">2026-06-09T10:58:00Z</dcterms:created>
  <dcterms:modified xsi:type="dcterms:W3CDTF">2026-06-09T10:58:00Z</dcterms:modified>
</cp:coreProperties>
</file>